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9"/>
          <w:tab w:val="left" w:pos="0" w:leader="none"/>
        </w:tabs>
        <w:bidi w:val="0"/>
        <w:spacing w:lineRule="auto" w:line="276"/>
        <w:ind w:hanging="1843"/>
        <w:jc w:val="center"/>
        <w:rPr>
          <w:rFonts w:ascii="Arial" w:hAnsi="Arial" w:cs="Arial"/>
          <w:sz w:val="22"/>
          <w:szCs w:val="22"/>
        </w:rPr>
      </w:pPr>
      <w:r>
        <w:rPr>
          <w:rFonts w:cs="Arial" w:ascii="Arial" w:hAnsi="Arial"/>
          <w:b/>
          <w:sz w:val="22"/>
          <w:szCs w:val="22"/>
        </w:rPr>
        <w:t xml:space="preserve">                                   </w:t>
      </w:r>
      <w:r>
        <w:rPr>
          <w:rFonts w:cs="Arial" w:ascii="Arial" w:hAnsi="Arial"/>
          <w:b/>
          <w:sz w:val="22"/>
          <w:szCs w:val="22"/>
          <w:shd w:fill="FFFFFF" w:val="clear"/>
        </w:rPr>
        <w:t xml:space="preserve">SPECYFIKACJA WARUNKÓW ZAMÓWIENIA </w:t>
        <w:br/>
        <w:t>(SWZ)</w:t>
      </w:r>
    </w:p>
    <w:p>
      <w:pPr>
        <w:pStyle w:val="Header"/>
        <w:tabs>
          <w:tab w:val="clear" w:pos="709"/>
          <w:tab w:val="left" w:pos="0" w:leader="none"/>
        </w:tabs>
        <w:spacing w:lineRule="auto" w:line="276"/>
        <w:jc w:val="center"/>
        <w:rPr>
          <w:rFonts w:ascii="Arial" w:hAnsi="Arial" w:cs="Arial"/>
          <w:b/>
          <w:sz w:val="22"/>
          <w:szCs w:val="22"/>
        </w:rPr>
      </w:pPr>
      <w:r>
        <w:rPr>
          <w:rFonts w:cs="Arial" w:ascii="Arial" w:hAnsi="Arial"/>
          <w:b/>
          <w:sz w:val="22"/>
          <w:szCs w:val="22"/>
        </w:rPr>
      </w:r>
    </w:p>
    <w:p>
      <w:pPr>
        <w:pStyle w:val="Standard"/>
        <w:spacing w:lineRule="auto" w:line="276"/>
        <w:rPr>
          <w:rFonts w:ascii="Arial" w:hAnsi="Arial" w:cs="Arial"/>
          <w:color w:val="000000"/>
          <w:sz w:val="22"/>
          <w:szCs w:val="22"/>
        </w:rPr>
      </w:pPr>
      <w:r>
        <w:rPr>
          <w:rFonts w:cs="Arial" w:ascii="Arial" w:hAnsi="Arial"/>
          <w:color w:val="000000"/>
          <w:sz w:val="22"/>
          <w:szCs w:val="22"/>
        </w:rPr>
      </w:r>
    </w:p>
    <w:p>
      <w:pPr>
        <w:pStyle w:val="Normal"/>
        <w:bidi w:val="0"/>
        <w:spacing w:lineRule="auto" w:line="276"/>
        <w:jc w:val="center"/>
        <w:rPr>
          <w:rFonts w:ascii="Arial" w:hAnsi="Arial" w:cs="Arial"/>
          <w:b/>
          <w:bCs/>
          <w:color w:val="000000"/>
          <w:sz w:val="22"/>
          <w:szCs w:val="22"/>
        </w:rPr>
      </w:pPr>
      <w:r>
        <w:rPr>
          <w:rFonts w:cs="Arial" w:ascii="Arial" w:hAnsi="Arial"/>
          <w:b/>
          <w:bCs/>
          <w:color w:val="000000"/>
          <w:sz w:val="22"/>
          <w:szCs w:val="22"/>
        </w:rPr>
        <w:t xml:space="preserve"> </w:t>
      </w:r>
    </w:p>
    <w:p>
      <w:pPr>
        <w:pStyle w:val="BodyTextIndent2"/>
        <w:tabs>
          <w:tab w:val="clear" w:pos="709"/>
          <w:tab w:val="left" w:pos="851" w:leader="none"/>
        </w:tabs>
        <w:bidi w:val="0"/>
        <w:spacing w:lineRule="auto" w:line="276" w:before="0" w:after="0"/>
        <w:ind w:hanging="0" w:start="425"/>
        <w:jc w:val="center"/>
        <w:rPr>
          <w:rFonts w:ascii="Calibri" w:hAnsi="Calibri" w:eastAsia="Times New Roman" w:cs="Times New Roman"/>
          <w:b/>
          <w:bCs/>
          <w:sz w:val="28"/>
          <w:szCs w:val="28"/>
          <w:lang w:eastAsia="pl-PL"/>
        </w:rPr>
      </w:pPr>
      <w:r>
        <w:rPr>
          <w:rFonts w:cs="Arial" w:ascii="Times New Roman" w:hAnsi="Times New Roman"/>
          <w:b/>
          <w:bCs/>
          <w:sz w:val="28"/>
          <w:szCs w:val="28"/>
        </w:rPr>
        <w:t>Zakup oraz sukcesywne dostawy oleju opałowego lekkiego</w:t>
      </w:r>
      <w:r>
        <w:rPr>
          <w:rFonts w:eastAsia="Times New Roman" w:cs="Times New Roman" w:ascii="Times New Roman" w:hAnsi="Times New Roman"/>
          <w:b/>
          <w:bCs/>
          <w:sz w:val="28"/>
          <w:szCs w:val="28"/>
          <w:lang w:eastAsia="pl-PL"/>
        </w:rPr>
        <w:t xml:space="preserve"> na potrzeby Szkoły Podstawowej nr 13 </w:t>
      </w:r>
      <w:r>
        <w:rPr>
          <w:rFonts w:cs="Arial" w:ascii="Times New Roman" w:hAnsi="Times New Roman"/>
          <w:b/>
          <w:bCs/>
          <w:sz w:val="28"/>
          <w:szCs w:val="28"/>
        </w:rPr>
        <w:t xml:space="preserve">im. Orląt Lwowskich </w:t>
      </w:r>
      <w:r>
        <w:rPr>
          <w:rFonts w:eastAsia="Times New Roman" w:cs="Times New Roman" w:ascii="Times New Roman" w:hAnsi="Times New Roman"/>
          <w:b/>
          <w:bCs/>
          <w:sz w:val="28"/>
          <w:szCs w:val="28"/>
          <w:lang w:eastAsia="pl-PL"/>
        </w:rPr>
        <w:t xml:space="preserve">w Głogowie . </w:t>
      </w:r>
    </w:p>
    <w:p>
      <w:pPr>
        <w:pStyle w:val="Normal"/>
        <w:bidi w:val="0"/>
        <w:spacing w:lineRule="auto" w:line="276"/>
        <w:jc w:val="center"/>
        <w:rPr>
          <w:rFonts w:ascii="Arial" w:hAnsi="Arial" w:cs="Arial"/>
          <w:b/>
          <w:bCs/>
          <w:sz w:val="22"/>
          <w:szCs w:val="22"/>
        </w:rPr>
      </w:pPr>
      <w:r>
        <w:rPr>
          <w:rFonts w:cs="Arial" w:ascii="Arial" w:hAnsi="Arial"/>
          <w:b/>
          <w:bCs/>
          <w:sz w:val="22"/>
          <w:szCs w:val="22"/>
        </w:rPr>
      </w:r>
    </w:p>
    <w:p>
      <w:pPr>
        <w:pStyle w:val="Header"/>
        <w:tabs>
          <w:tab w:val="clear" w:pos="709"/>
          <w:tab w:val="left" w:pos="0" w:leader="none"/>
        </w:tabs>
        <w:spacing w:lineRule="auto" w:line="276"/>
        <w:jc w:val="center"/>
        <w:rPr>
          <w:rFonts w:ascii="Arial" w:hAnsi="Arial" w:cs="Arial"/>
          <w:color w:val="000000"/>
          <w:sz w:val="22"/>
          <w:szCs w:val="22"/>
        </w:rPr>
      </w:pPr>
      <w:r>
        <w:rPr>
          <w:rFonts w:cs="Arial" w:ascii="Arial" w:hAnsi="Arial"/>
          <w:color w:val="000000"/>
          <w:sz w:val="22"/>
          <w:szCs w:val="22"/>
        </w:rPr>
      </w:r>
    </w:p>
    <w:p>
      <w:pPr>
        <w:pStyle w:val="Header"/>
        <w:tabs>
          <w:tab w:val="clear" w:pos="709"/>
          <w:tab w:val="left" w:pos="0" w:leader="none"/>
        </w:tabs>
        <w:spacing w:lineRule="auto" w:line="276"/>
        <w:jc w:val="center"/>
        <w:rPr>
          <w:rFonts w:ascii="Arial" w:hAnsi="Arial" w:cs="Arial"/>
          <w:color w:val="000000"/>
          <w:sz w:val="22"/>
          <w:szCs w:val="22"/>
        </w:rPr>
      </w:pPr>
      <w:r>
        <w:rPr>
          <w:rFonts w:cs="Arial" w:ascii="Arial" w:hAnsi="Arial"/>
          <w:color w:val="000000"/>
          <w:sz w:val="22"/>
          <w:szCs w:val="22"/>
        </w:rPr>
      </w:r>
    </w:p>
    <w:p>
      <w:pPr>
        <w:pStyle w:val="Header"/>
        <w:tabs>
          <w:tab w:val="clear" w:pos="709"/>
          <w:tab w:val="left" w:pos="0" w:leader="none"/>
        </w:tabs>
        <w:spacing w:lineRule="auto" w:line="276"/>
        <w:ind w:hanging="1843"/>
        <w:jc w:val="center"/>
        <w:rPr>
          <w:rFonts w:ascii="Arial" w:hAnsi="Arial" w:cs="Arial"/>
          <w:b/>
          <w:sz w:val="22"/>
          <w:szCs w:val="22"/>
        </w:rPr>
      </w:pPr>
      <w:r>
        <w:rPr>
          <w:rFonts w:cs="Arial" w:ascii="Arial" w:hAnsi="Arial"/>
          <w:b/>
          <w:sz w:val="22"/>
          <w:szCs w:val="22"/>
        </w:rPr>
      </w:r>
    </w:p>
    <w:p>
      <w:pPr>
        <w:pStyle w:val="Standard"/>
        <w:spacing w:lineRule="auto" w:line="276"/>
        <w:jc w:val="center"/>
        <w:rPr>
          <w:rFonts w:ascii="Arial" w:hAnsi="Arial" w:cs="Arial"/>
          <w:b/>
          <w:bCs/>
          <w:sz w:val="22"/>
          <w:szCs w:val="22"/>
        </w:rPr>
      </w:pPr>
      <w:r>
        <w:rPr>
          <w:rFonts w:cs="Arial" w:ascii="Arial" w:hAnsi="Arial"/>
          <w:b/>
          <w:bCs/>
          <w:sz w:val="22"/>
          <w:szCs w:val="22"/>
        </w:rPr>
        <w:t>Tryb podstawowy bez przeprowadzenia negocjacji</w:t>
      </w:r>
    </w:p>
    <w:p>
      <w:pPr>
        <w:pStyle w:val="Standard"/>
        <w:spacing w:lineRule="auto" w:line="276"/>
        <w:jc w:val="center"/>
        <w:rPr>
          <w:rFonts w:ascii="Arial" w:hAnsi="Arial" w:cs="Arial"/>
          <w:sz w:val="22"/>
          <w:szCs w:val="22"/>
        </w:rPr>
      </w:pPr>
      <w:r>
        <w:rPr>
          <w:rFonts w:cs="Arial" w:ascii="Arial" w:hAnsi="Arial"/>
          <w:sz w:val="22"/>
          <w:szCs w:val="22"/>
        </w:rPr>
        <w:t>- art. 275 pkt 1 ustawy z dnia 11 września 2019 r. Prawo zamówień publicznych</w:t>
      </w:r>
    </w:p>
    <w:p>
      <w:pPr>
        <w:pStyle w:val="Standard"/>
        <w:spacing w:lineRule="auto" w:line="276"/>
        <w:jc w:val="center"/>
        <w:rPr>
          <w:rFonts w:ascii="Arial" w:hAnsi="Arial" w:cs="Arial"/>
          <w:sz w:val="22"/>
          <w:szCs w:val="22"/>
        </w:rPr>
      </w:pPr>
      <w:r>
        <w:rPr>
          <w:rFonts w:cs="Arial" w:ascii="Arial" w:hAnsi="Arial"/>
          <w:sz w:val="22"/>
          <w:szCs w:val="22"/>
        </w:rPr>
        <w:t>(Dz. U. Z 2025 poz. 1173)</w:t>
      </w:r>
    </w:p>
    <w:p>
      <w:pPr>
        <w:pStyle w:val="Standard"/>
        <w:tabs>
          <w:tab w:val="clear" w:pos="709"/>
          <w:tab w:val="left" w:pos="0" w:leader="none"/>
        </w:tabs>
        <w:spacing w:lineRule="auto" w:line="276"/>
        <w:ind w:hanging="1843"/>
        <w:jc w:val="center"/>
        <w:rPr>
          <w:rFonts w:ascii="Arial" w:hAnsi="Arial" w:cs="Arial"/>
          <w:b/>
          <w:color w:val="000000"/>
          <w:sz w:val="22"/>
          <w:szCs w:val="22"/>
        </w:rPr>
      </w:pPr>
      <w:r>
        <w:rPr>
          <w:rFonts w:cs="Arial" w:ascii="Arial" w:hAnsi="Arial"/>
          <w:b/>
          <w:color w:val="000000"/>
          <w:sz w:val="22"/>
          <w:szCs w:val="22"/>
        </w:rPr>
      </w:r>
    </w:p>
    <w:p>
      <w:pPr>
        <w:pStyle w:val="Header"/>
        <w:tabs>
          <w:tab w:val="clear" w:pos="709"/>
          <w:tab w:val="left" w:pos="0" w:leader="none"/>
          <w:tab w:val="right" w:pos="9498" w:leader="none"/>
        </w:tabs>
        <w:spacing w:lineRule="auto" w:line="276"/>
        <w:ind w:hanging="142"/>
        <w:jc w:val="center"/>
        <w:rPr>
          <w:rFonts w:ascii="Arial" w:hAnsi="Arial" w:cs="Arial"/>
          <w:b/>
          <w:sz w:val="22"/>
          <w:szCs w:val="22"/>
        </w:rPr>
      </w:pPr>
      <w:r>
        <w:rPr>
          <w:rFonts w:cs="Arial" w:ascii="Arial" w:hAnsi="Arial"/>
          <w:b/>
          <w:sz w:val="22"/>
          <w:szCs w:val="22"/>
        </w:rPr>
      </w:r>
    </w:p>
    <w:p>
      <w:pPr>
        <w:pStyle w:val="Standard"/>
        <w:spacing w:lineRule="auto" w:line="276"/>
        <w:jc w:val="both"/>
        <w:rPr>
          <w:rFonts w:ascii="Arial" w:hAnsi="Arial" w:cs="Arial"/>
          <w:sz w:val="22"/>
          <w:szCs w:val="22"/>
        </w:rPr>
      </w:pPr>
      <w:r>
        <w:rPr>
          <w:rFonts w:cs="Arial" w:ascii="Arial" w:hAnsi="Arial"/>
          <w:sz w:val="22"/>
          <w:szCs w:val="22"/>
        </w:rPr>
      </w:r>
    </w:p>
    <w:p>
      <w:pPr>
        <w:pStyle w:val="Standard"/>
        <w:spacing w:lineRule="auto" w:line="276"/>
        <w:jc w:val="both"/>
        <w:rPr>
          <w:rFonts w:ascii="Arial" w:hAnsi="Arial" w:cs="Arial"/>
          <w:sz w:val="22"/>
          <w:szCs w:val="22"/>
        </w:rPr>
      </w:pPr>
      <w:r>
        <w:rPr>
          <w:rFonts w:cs="Arial" w:ascii="Arial" w:hAnsi="Arial"/>
          <w:sz w:val="22"/>
          <w:szCs w:val="22"/>
        </w:rPr>
      </w:r>
    </w:p>
    <w:p>
      <w:pPr>
        <w:pStyle w:val="Standard"/>
        <w:spacing w:lineRule="auto" w:line="276"/>
        <w:jc w:val="both"/>
        <w:rPr>
          <w:rFonts w:ascii="Arial" w:hAnsi="Arial" w:cs="Arial"/>
          <w:sz w:val="22"/>
          <w:szCs w:val="22"/>
        </w:rPr>
      </w:pPr>
      <w:r>
        <w:rPr>
          <w:rFonts w:cs="Arial" w:ascii="Arial" w:hAnsi="Arial"/>
          <w:sz w:val="22"/>
          <w:szCs w:val="22"/>
        </w:rPr>
      </w:r>
    </w:p>
    <w:p>
      <w:pPr>
        <w:pStyle w:val="Standard"/>
        <w:spacing w:lineRule="auto" w:line="276"/>
        <w:jc w:val="both"/>
        <w:rPr>
          <w:rFonts w:ascii="Arial" w:hAnsi="Arial" w:cs="Arial"/>
          <w:sz w:val="22"/>
          <w:szCs w:val="22"/>
        </w:rPr>
      </w:pPr>
      <w:r>
        <w:rPr>
          <w:rFonts w:cs="Arial" w:ascii="Arial" w:hAnsi="Arial"/>
          <w:sz w:val="22"/>
          <w:szCs w:val="22"/>
        </w:rPr>
      </w:r>
    </w:p>
    <w:p>
      <w:pPr>
        <w:pStyle w:val="Standard"/>
        <w:spacing w:lineRule="auto" w:line="276"/>
        <w:jc w:val="both"/>
        <w:rPr>
          <w:rFonts w:ascii="Arial" w:hAnsi="Arial" w:cs="Arial"/>
          <w:sz w:val="22"/>
          <w:szCs w:val="22"/>
        </w:rPr>
      </w:pPr>
      <w:r>
        <w:rPr>
          <w:rFonts w:cs="Arial" w:ascii="Arial" w:hAnsi="Arial"/>
          <w:sz w:val="22"/>
          <w:szCs w:val="22"/>
        </w:rPr>
      </w:r>
    </w:p>
    <w:p>
      <w:pPr>
        <w:pStyle w:val="Standard"/>
        <w:spacing w:lineRule="auto" w:line="276"/>
        <w:rPr>
          <w:rFonts w:ascii="Arial" w:hAnsi="Arial" w:cs="Arial"/>
          <w:b/>
          <w:sz w:val="22"/>
          <w:szCs w:val="22"/>
        </w:rPr>
      </w:pPr>
      <w:r>
        <w:rPr>
          <w:rFonts w:cs="Arial" w:ascii="Arial" w:hAnsi="Arial"/>
          <w:b/>
          <w:sz w:val="22"/>
          <w:szCs w:val="22"/>
        </w:rPr>
      </w:r>
    </w:p>
    <w:p>
      <w:pPr>
        <w:pStyle w:val="Standard"/>
        <w:spacing w:lineRule="auto" w:line="276"/>
        <w:rPr>
          <w:rFonts w:ascii="Arial" w:hAnsi="Arial" w:cs="Arial"/>
          <w:b/>
          <w:sz w:val="22"/>
          <w:szCs w:val="22"/>
        </w:rPr>
      </w:pPr>
      <w:r>
        <w:rPr>
          <w:rFonts w:cs="Arial" w:ascii="Arial" w:hAnsi="Arial"/>
          <w:b/>
          <w:sz w:val="22"/>
          <w:szCs w:val="22"/>
        </w:rPr>
      </w:r>
    </w:p>
    <w:p>
      <w:pPr>
        <w:pStyle w:val="Standard"/>
        <w:spacing w:lineRule="auto" w:line="276"/>
        <w:jc w:val="center"/>
        <w:rPr>
          <w:rFonts w:ascii="Arial" w:hAnsi="Arial" w:cs="Arial"/>
          <w:sz w:val="22"/>
          <w:szCs w:val="22"/>
        </w:rPr>
      </w:pPr>
      <w:r>
        <w:rPr>
          <w:rFonts w:cs="Arial" w:ascii="Arial" w:hAnsi="Arial"/>
          <w:sz w:val="22"/>
          <w:szCs w:val="22"/>
        </w:rPr>
        <w:t xml:space="preserve">       </w:t>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t xml:space="preserve">             </w:t>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t>Głogów 02.03.2026 r.</w:t>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start"/>
        <w:rPr>
          <w:rFonts w:ascii="Times New Roman" w:hAnsi="Times New Roman" w:cs="Arial"/>
          <w:sz w:val="22"/>
          <w:szCs w:val="22"/>
        </w:rPr>
      </w:pPr>
      <w:r>
        <w:rPr>
          <w:rFonts w:cs="Arial" w:ascii="Times New Roman" w:hAnsi="Times New Roman"/>
          <w:sz w:val="22"/>
          <w:szCs w:val="22"/>
        </w:rPr>
        <w:t xml:space="preserve">IDENTYFIKATOR POSTĘPOWANIA : </w:t>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tbl>
      <w:tblPr>
        <w:tblW w:w="8254" w:type="dxa"/>
        <w:jc w:val="start"/>
        <w:tblInd w:w="0" w:type="dxa"/>
        <w:tblLayout w:type="fixed"/>
        <w:tblCellMar>
          <w:top w:w="0" w:type="dxa"/>
          <w:start w:w="0" w:type="dxa"/>
          <w:bottom w:w="0" w:type="dxa"/>
          <w:end w:w="0" w:type="dxa"/>
        </w:tblCellMar>
      </w:tblPr>
      <w:tblGrid>
        <w:gridCol w:w="2751"/>
        <w:gridCol w:w="5502"/>
      </w:tblGrid>
      <w:tr>
        <w:trPr/>
        <w:tc>
          <w:tcPr>
            <w:tcW w:w="2751" w:type="dxa"/>
            <w:tcBorders/>
            <w:vAlign w:val="center"/>
          </w:tcPr>
          <w:p>
            <w:pPr>
              <w:pStyle w:val="Zawartotabeliuser"/>
              <w:ind w:hanging="0" w:start="0" w:end="0"/>
              <w:rPr/>
            </w:pPr>
            <w:r>
              <w:rPr/>
              <w:t>Identyfikator postępowania</w:t>
            </w:r>
          </w:p>
        </w:tc>
        <w:tc>
          <w:tcPr>
            <w:tcW w:w="5502" w:type="dxa"/>
            <w:tcBorders/>
            <w:vAlign w:val="center"/>
          </w:tcPr>
          <w:p>
            <w:pPr>
              <w:pStyle w:val="Zawartotabeliuser"/>
              <w:rPr/>
            </w:pPr>
            <w:r>
              <w:rPr/>
              <w:t>ocds-148610-0339ad15-befd-4e62-997d-a57e1a924d71</w:t>
            </w:r>
          </w:p>
        </w:tc>
      </w:tr>
    </w:tbl>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Standard"/>
        <w:spacing w:lineRule="auto" w:line="276"/>
        <w:jc w:val="center"/>
        <w:rPr>
          <w:rFonts w:ascii="Arial" w:hAnsi="Arial" w:cs="Arial"/>
          <w:sz w:val="22"/>
          <w:szCs w:val="22"/>
        </w:rPr>
      </w:pPr>
      <w:r>
        <w:rPr>
          <w:rFonts w:cs="Arial" w:ascii="Arial" w:hAnsi="Arial"/>
          <w:sz w:val="22"/>
          <w:szCs w:val="22"/>
        </w:rPr>
      </w:r>
    </w:p>
    <w:p>
      <w:pPr>
        <w:pStyle w:val="Heading1"/>
        <w:pBdr>
          <w:top w:val="single" w:sz="4" w:space="1" w:color="000000"/>
          <w:left w:val="single" w:sz="4" w:space="4" w:color="000000"/>
          <w:bottom w:val="single" w:sz="4" w:space="1" w:color="000000"/>
          <w:right w:val="single" w:sz="4" w:space="4" w:color="000000"/>
        </w:pBdr>
        <w:shd w:val="clear" w:color="auto" w:fill="D9D9D9"/>
        <w:spacing w:lineRule="auto" w:line="276" w:before="0" w:after="0"/>
        <w:rPr/>
      </w:pPr>
      <w:r>
        <w:rPr>
          <w:rFonts w:cs="Arial" w:ascii="Arial" w:hAnsi="Arial"/>
          <w:sz w:val="22"/>
          <w:szCs w:val="22"/>
        </w:rPr>
        <w:t>ROZDZIAŁ I</w:t>
      </w:r>
      <w:r>
        <w:rPr>
          <w:rFonts w:cs="Arial" w:ascii="Arial" w:hAnsi="Arial"/>
          <w:b w:val="false"/>
          <w:bCs/>
          <w:sz w:val="22"/>
          <w:szCs w:val="22"/>
        </w:rPr>
        <w:t xml:space="preserve"> - NAZWA ORAZ ADRES ZAMAWIAJĄCEGO</w:t>
      </w:r>
    </w:p>
    <w:p>
      <w:pPr>
        <w:pStyle w:val="Normal"/>
        <w:bidi w:val="0"/>
        <w:spacing w:lineRule="auto" w:line="240" w:before="0" w:after="0"/>
        <w:ind w:hanging="0" w:end="204"/>
        <w:jc w:val="start"/>
        <w:rPr>
          <w:rFonts w:eastAsia="Times New Roman" w:cs="Arial" w:cstheme="minorHAnsi"/>
          <w:b/>
          <w:bCs/>
          <w:iCs/>
          <w:lang w:eastAsia="pl-PL"/>
        </w:rPr>
      </w:pPr>
      <w:r>
        <w:rPr>
          <w:rFonts w:eastAsia="Times New Roman" w:cs="Arial" w:cstheme="minorHAnsi"/>
          <w:b/>
          <w:bCs/>
          <w:iCs/>
          <w:lang w:eastAsia="pl-PL"/>
        </w:rPr>
        <w:t>Gmina Miejska – Szkoła Podstawowa nr 13 im. Orląt Lwowskich w Głogowie</w:t>
      </w:r>
    </w:p>
    <w:p>
      <w:pPr>
        <w:pStyle w:val="Normal"/>
        <w:bidi w:val="0"/>
        <w:spacing w:lineRule="auto" w:line="240" w:before="0" w:after="0"/>
        <w:ind w:hanging="0" w:end="204"/>
        <w:jc w:val="start"/>
        <w:rPr>
          <w:rFonts w:eastAsia="Times New Roman" w:cs="Arial" w:cstheme="minorHAnsi"/>
          <w:b/>
          <w:bCs/>
          <w:lang w:eastAsia="pl-PL"/>
        </w:rPr>
      </w:pPr>
      <w:r>
        <w:rPr>
          <w:rFonts w:eastAsia="Times New Roman" w:cs="Arial" w:cstheme="minorHAnsi"/>
          <w:b/>
          <w:bCs/>
          <w:lang w:val="x-none" w:eastAsia="pl-PL"/>
        </w:rPr>
        <w:t xml:space="preserve">67-200 GŁOGÓW, </w:t>
      </w:r>
      <w:r>
        <w:rPr>
          <w:rFonts w:eastAsia="Times New Roman" w:cs="Arial" w:cstheme="minorHAnsi"/>
          <w:b/>
          <w:bCs/>
          <w:lang w:eastAsia="pl-PL"/>
        </w:rPr>
        <w:t>plac Mieszka I 22, 67-200 Głogów</w:t>
      </w:r>
    </w:p>
    <w:p>
      <w:pPr>
        <w:pStyle w:val="Normal"/>
        <w:bidi w:val="0"/>
        <w:spacing w:lineRule="auto" w:line="240" w:before="0" w:after="0"/>
        <w:ind w:hanging="0" w:end="204"/>
        <w:jc w:val="start"/>
        <w:rPr>
          <w:rFonts w:eastAsia="Times New Roman" w:cs="Arial" w:cstheme="minorHAnsi"/>
          <w:b/>
          <w:bCs/>
          <w:lang w:eastAsia="pl-PL"/>
        </w:rPr>
      </w:pPr>
      <w:r>
        <w:rPr>
          <w:rFonts w:eastAsia="Times New Roman" w:cs="Arial" w:cstheme="minorHAnsi"/>
          <w:b/>
          <w:bCs/>
          <w:lang w:eastAsia="pl-PL"/>
        </w:rPr>
        <w:t>reprezentowana przez Dyrektora Szkoły p. Magdalenę Kłósek</w:t>
      </w:r>
    </w:p>
    <w:p>
      <w:pPr>
        <w:pStyle w:val="Normal"/>
        <w:bidi w:val="0"/>
        <w:spacing w:lineRule="auto" w:line="240" w:before="0" w:after="0"/>
        <w:ind w:hanging="0" w:end="204"/>
        <w:jc w:val="both"/>
        <w:rPr>
          <w:rFonts w:eastAsia="Times New Roman" w:cs="Arial" w:cstheme="minorHAnsi"/>
          <w:sz w:val="12"/>
          <w:szCs w:val="12"/>
          <w:lang w:val="x-none" w:eastAsia="pl-PL"/>
        </w:rPr>
      </w:pPr>
      <w:r>
        <w:rPr>
          <w:rFonts w:eastAsia="Times New Roman" w:cs="Arial" w:cstheme="minorHAnsi"/>
          <w:sz w:val="12"/>
          <w:szCs w:val="12"/>
          <w:lang w:val="x-none" w:eastAsia="pl-PL"/>
        </w:rPr>
      </w:r>
    </w:p>
    <w:p>
      <w:pPr>
        <w:pStyle w:val="Normal"/>
        <w:bidi w:val="0"/>
        <w:spacing w:lineRule="auto" w:line="240" w:before="0" w:after="0"/>
        <w:ind w:hanging="0" w:end="204"/>
        <w:jc w:val="both"/>
        <w:rPr>
          <w:rFonts w:eastAsia="Times New Roman" w:cs="Arial" w:cstheme="minorHAnsi"/>
          <w:lang w:eastAsia="pl-PL"/>
        </w:rPr>
      </w:pPr>
      <w:r>
        <w:rPr>
          <w:rFonts w:eastAsia="Times New Roman" w:cs="Arial" w:cstheme="minorHAnsi"/>
          <w:lang w:val="x-none" w:eastAsia="pl-PL"/>
        </w:rPr>
        <w:t xml:space="preserve">tel. (76) </w:t>
      </w:r>
      <w:r>
        <w:rPr/>
        <w:t>835 82 35</w:t>
      </w:r>
    </w:p>
    <w:p>
      <w:pPr>
        <w:pStyle w:val="Normal"/>
        <w:bidi w:val="0"/>
        <w:spacing w:lineRule="auto" w:line="240" w:before="0" w:after="0"/>
        <w:ind w:hanging="0" w:end="204"/>
        <w:jc w:val="both"/>
        <w:rPr/>
      </w:pPr>
      <w:r>
        <w:rPr>
          <w:rFonts w:eastAsia="Times New Roman" w:cs="Arial" w:cstheme="minorHAnsi"/>
          <w:lang w:val="en-US" w:eastAsia="pl-PL"/>
        </w:rPr>
        <w:t>email: sekretariat@sp13.glogow.pl</w:t>
      </w:r>
    </w:p>
    <w:p>
      <w:pPr>
        <w:pStyle w:val="Normal"/>
        <w:bidi w:val="0"/>
        <w:spacing w:lineRule="auto" w:line="240" w:before="0" w:after="0"/>
        <w:ind w:hanging="0" w:end="204"/>
        <w:jc w:val="both"/>
        <w:rPr/>
      </w:pPr>
      <w:r>
        <w:rPr/>
      </w:r>
    </w:p>
    <w:p>
      <w:pPr>
        <w:pStyle w:val="Normal"/>
        <w:bidi w:val="0"/>
        <w:spacing w:lineRule="auto" w:line="240" w:before="0" w:after="0"/>
        <w:ind w:hanging="0" w:end="204"/>
        <w:jc w:val="both"/>
        <w:rPr>
          <w:rFonts w:eastAsia="Times New Roman" w:cs="Arial" w:cstheme="minorHAnsi"/>
          <w:b/>
          <w:lang w:eastAsia="pl-PL"/>
        </w:rPr>
      </w:pPr>
      <w:r>
        <w:rPr>
          <w:rFonts w:eastAsia="Times New Roman" w:cs="Arial" w:cstheme="minorHAnsi"/>
          <w:b/>
          <w:lang w:val="en-US" w:eastAsia="pl-PL"/>
        </w:rPr>
        <w:t>REGON  001240568      NIP 693 00 12 466</w:t>
      </w:r>
    </w:p>
    <w:p>
      <w:pPr>
        <w:pStyle w:val="Normal"/>
        <w:bidi w:val="0"/>
        <w:spacing w:lineRule="auto" w:line="240" w:before="0" w:after="0"/>
        <w:ind w:hanging="0" w:end="204"/>
        <w:jc w:val="both"/>
        <w:rPr>
          <w:rFonts w:eastAsia="Times New Roman" w:cs="Arial" w:cstheme="minorHAnsi"/>
          <w:lang w:eastAsia="pl-PL"/>
        </w:rPr>
      </w:pPr>
      <w:r>
        <w:rPr>
          <w:rFonts w:eastAsia="Times New Roman" w:cs="Arial" w:cstheme="minorHAnsi"/>
          <w:lang w:eastAsia="pl-PL"/>
        </w:rPr>
        <w:t>Adres strony internetowej Zamawiającego: www.sp13.glogow.pl</w:t>
      </w:r>
    </w:p>
    <w:p>
      <w:pPr>
        <w:pStyle w:val="Normal"/>
        <w:bidi w:val="0"/>
        <w:spacing w:lineRule="auto" w:line="240" w:before="0" w:after="0"/>
        <w:ind w:hanging="0" w:end="204"/>
        <w:jc w:val="both"/>
        <w:rPr>
          <w:b/>
        </w:rPr>
      </w:pPr>
      <w:r>
        <w:rPr>
          <w:b/>
        </w:rPr>
      </w:r>
    </w:p>
    <w:p>
      <w:pPr>
        <w:pStyle w:val="Heading1"/>
        <w:pBdr>
          <w:top w:val="single" w:sz="4" w:space="1" w:color="000000"/>
          <w:left w:val="single" w:sz="4" w:space="4" w:color="000000"/>
          <w:bottom w:val="single" w:sz="4" w:space="1" w:color="000000"/>
          <w:right w:val="single" w:sz="4" w:space="4" w:color="000000"/>
        </w:pBdr>
        <w:shd w:val="clear" w:color="auto" w:fill="D9D9D9"/>
        <w:spacing w:lineRule="auto" w:line="276" w:before="0" w:after="0"/>
        <w:jc w:val="both"/>
        <w:rPr>
          <w:rFonts w:ascii="Arial" w:hAnsi="Arial" w:cs="Arial"/>
          <w:sz w:val="22"/>
          <w:szCs w:val="22"/>
        </w:rPr>
      </w:pPr>
      <w:r>
        <w:rPr>
          <w:rFonts w:cs="Arial" w:ascii="Arial" w:hAnsi="Arial"/>
          <w:sz w:val="22"/>
          <w:szCs w:val="22"/>
        </w:rPr>
        <w:t>ROZDZIAŁ II</w:t>
      </w:r>
      <w:r>
        <w:rPr>
          <w:rFonts w:cs="Arial" w:ascii="Arial" w:hAnsi="Arial"/>
          <w:b w:val="false"/>
          <w:bCs/>
          <w:sz w:val="22"/>
          <w:szCs w:val="22"/>
        </w:rPr>
        <w:t xml:space="preserve"> – ADRES STRONY INTERNETOWEJ, NA KTÓREJ UDOSTĘPNIONE BĘDĄ ZMIANY I WYJAŚNIENIA SWZ ORAZ INNE DOKUMENTY ZAMÓWIENIA ZWIĄZANE Z POSTĘPOWANIEM O UDZIELENIE ZAMÓWIENIA.</w:t>
      </w:r>
    </w:p>
    <w:p>
      <w:pPr>
        <w:pStyle w:val="Standard"/>
        <w:shd w:val="clear" w:color="auto" w:fill="FFFFFF"/>
        <w:spacing w:lineRule="auto" w:line="276" w:before="60" w:after="0"/>
        <w:ind w:hanging="284"/>
        <w:rPr>
          <w:rFonts w:ascii="Arial" w:hAnsi="Arial" w:cs="Arial"/>
          <w:color w:val="000000"/>
          <w:sz w:val="22"/>
          <w:szCs w:val="22"/>
        </w:rPr>
      </w:pPr>
      <w:r>
        <w:rPr>
          <w:rFonts w:cs="Arial" w:ascii="Arial" w:hAnsi="Arial"/>
          <w:color w:val="000000"/>
          <w:sz w:val="22"/>
          <w:szCs w:val="22"/>
        </w:rPr>
      </w:r>
    </w:p>
    <w:p>
      <w:pPr>
        <w:pStyle w:val="Standard"/>
        <w:spacing w:lineRule="auto" w:line="276"/>
        <w:jc w:val="both"/>
        <w:rPr>
          <w:rFonts w:ascii="Arial" w:hAnsi="Arial" w:cs="Arial"/>
          <w:color w:val="000000"/>
          <w:sz w:val="22"/>
          <w:szCs w:val="22"/>
        </w:rPr>
      </w:pPr>
      <w:r>
        <w:rPr>
          <w:rFonts w:cs="Arial" w:ascii="Arial" w:hAnsi="Arial"/>
          <w:color w:val="000000"/>
          <w:sz w:val="22"/>
          <w:szCs w:val="22"/>
        </w:rPr>
        <w:t xml:space="preserve">Zmiany i wyjaśnienia SWZ oraz inne dokumenty zamówienia bezpośrednio związane </w:t>
        <w:br/>
        <w:t>z postępowaniem o udzielenie zamówienia będą udostępniane na stronie internetowej platformy</w:t>
        <w:br/>
        <w:t xml:space="preserve"> e-Zamówienia:</w:t>
      </w:r>
    </w:p>
    <w:p>
      <w:pPr>
        <w:pStyle w:val="Standard"/>
        <w:spacing w:lineRule="auto" w:line="276"/>
        <w:rPr>
          <w:rFonts w:ascii="Arial" w:hAnsi="Arial" w:cs="Arial"/>
          <w:color w:val="000000"/>
          <w:sz w:val="22"/>
          <w:szCs w:val="22"/>
        </w:rPr>
      </w:pPr>
      <w:r>
        <w:rPr>
          <w:rFonts w:cs="Arial" w:ascii="Arial" w:hAnsi="Arial"/>
          <w:color w:val="000000"/>
          <w:sz w:val="22"/>
          <w:szCs w:val="22"/>
        </w:rPr>
      </w:r>
    </w:p>
    <w:p>
      <w:pPr>
        <w:pStyle w:val="Standard"/>
        <w:spacing w:lineRule="auto" w:line="276"/>
        <w:rPr>
          <w:rFonts w:ascii="Arial" w:hAnsi="Arial" w:cs="Arial"/>
          <w:color w:val="000000"/>
          <w:sz w:val="22"/>
          <w:szCs w:val="22"/>
        </w:rPr>
      </w:pPr>
      <w:hyperlink r:id="rId2">
        <w:r>
          <w:rPr>
            <w:rStyle w:val="Hyperlink"/>
            <w:rFonts w:cs="Arial" w:ascii="Arial" w:hAnsi="Arial"/>
            <w:color w:val="000000"/>
            <w:sz w:val="22"/>
            <w:szCs w:val="22"/>
          </w:rPr>
          <w:t>https://ezamowienia.gov.pl/pl/</w:t>
        </w:r>
      </w:hyperlink>
    </w:p>
    <w:p>
      <w:pPr>
        <w:pStyle w:val="Standard"/>
        <w:spacing w:lineRule="auto" w:line="276"/>
        <w:rPr>
          <w:rFonts w:ascii="Arial" w:hAnsi="Arial" w:cs="Arial"/>
          <w:color w:val="000000"/>
          <w:sz w:val="22"/>
          <w:szCs w:val="22"/>
        </w:rPr>
      </w:pPr>
      <w:r>
        <w:rPr>
          <w:rFonts w:cs="Arial" w:ascii="Arial" w:hAnsi="Arial"/>
          <w:color w:val="000000"/>
          <w:sz w:val="22"/>
          <w:szCs w:val="22"/>
        </w:rPr>
      </w:r>
    </w:p>
    <w:tbl>
      <w:tblPr>
        <w:tblW w:w="8254" w:type="dxa"/>
        <w:jc w:val="start"/>
        <w:tblInd w:w="0" w:type="dxa"/>
        <w:tblLayout w:type="fixed"/>
        <w:tblCellMar>
          <w:top w:w="0" w:type="dxa"/>
          <w:start w:w="0" w:type="dxa"/>
          <w:bottom w:w="0" w:type="dxa"/>
          <w:end w:w="0" w:type="dxa"/>
        </w:tblCellMar>
      </w:tblPr>
      <w:tblGrid>
        <w:gridCol w:w="2751"/>
        <w:gridCol w:w="5502"/>
      </w:tblGrid>
      <w:tr>
        <w:trPr/>
        <w:tc>
          <w:tcPr>
            <w:tcW w:w="2751" w:type="dxa"/>
            <w:tcBorders/>
            <w:vAlign w:val="center"/>
          </w:tcPr>
          <w:p>
            <w:pPr>
              <w:pStyle w:val="Zawartotabeliuser"/>
              <w:ind w:hanging="0" w:start="0" w:end="0"/>
              <w:rPr/>
            </w:pPr>
            <w:r>
              <w:rPr/>
              <w:t>Identyfikator postępowania</w:t>
            </w:r>
          </w:p>
        </w:tc>
        <w:tc>
          <w:tcPr>
            <w:tcW w:w="5502" w:type="dxa"/>
            <w:tcBorders/>
            <w:vAlign w:val="center"/>
          </w:tcPr>
          <w:p>
            <w:pPr>
              <w:pStyle w:val="Zawartotabeliuser"/>
              <w:rPr/>
            </w:pPr>
            <w:r>
              <w:rPr/>
              <w:t>ocds-148610-0339ad15-befd-4e62-997d-a57e1a924d71</w:t>
            </w:r>
          </w:p>
        </w:tc>
      </w:tr>
    </w:tbl>
    <w:p>
      <w:pPr>
        <w:pStyle w:val="Standard"/>
        <w:spacing w:lineRule="auto" w:line="276"/>
        <w:rPr>
          <w:rFonts w:ascii="Arial" w:hAnsi="Arial" w:cs="Arial"/>
          <w:color w:val="000000"/>
          <w:sz w:val="22"/>
          <w:szCs w:val="22"/>
        </w:rPr>
      </w:pPr>
      <w:r>
        <w:rPr>
          <w:rFonts w:cs="Arial" w:ascii="Arial" w:hAnsi="Arial"/>
          <w:color w:val="000000"/>
          <w:sz w:val="22"/>
          <w:szCs w:val="22"/>
        </w:rPr>
      </w:r>
    </w:p>
    <w:p>
      <w:pPr>
        <w:pStyle w:val="Standard"/>
        <w:spacing w:lineRule="auto" w:line="276"/>
        <w:rPr>
          <w:rFonts w:ascii="Arial" w:hAnsi="Arial" w:cs="Arial"/>
          <w:color w:val="000000"/>
          <w:sz w:val="22"/>
          <w:szCs w:val="22"/>
        </w:rPr>
      </w:pPr>
      <w:r>
        <w:rPr>
          <w:rFonts w:cs="Arial" w:ascii="Arial" w:hAnsi="Arial"/>
          <w:color w:val="000000"/>
          <w:sz w:val="22"/>
          <w:szCs w:val="22"/>
        </w:rPr>
      </w:r>
    </w:p>
    <w:p>
      <w:pPr>
        <w:pStyle w:val="Standard"/>
        <w:spacing w:lineRule="auto" w:line="276"/>
        <w:rPr>
          <w:rFonts w:ascii="Arial" w:hAnsi="Arial" w:cs="Arial"/>
          <w:color w:val="000000"/>
          <w:sz w:val="22"/>
          <w:szCs w:val="22"/>
        </w:rPr>
      </w:pPr>
      <w:r>
        <w:rPr>
          <w:rFonts w:cs="Arial" w:ascii="Arial" w:hAnsi="Arial"/>
          <w:color w:val="000000"/>
          <w:sz w:val="22"/>
          <w:szCs w:val="22"/>
        </w:rPr>
      </w:r>
    </w:p>
    <w:p>
      <w:pPr>
        <w:pStyle w:val="Standard"/>
        <w:spacing w:lineRule="auto" w:line="276" w:before="0" w:after="120"/>
        <w:jc w:val="start"/>
        <w:rPr>
          <w:rFonts w:ascii="Arial" w:hAnsi="Arial" w:cs="Arial"/>
          <w:b/>
          <w:sz w:val="22"/>
          <w:szCs w:val="22"/>
        </w:rPr>
      </w:pPr>
      <w:r>
        <w:rPr>
          <w:rStyle w:val="Hyperlink"/>
          <w:rFonts w:cs="Arial" w:ascii="Arial" w:hAnsi="Arial"/>
          <w:bCs/>
          <w:color w:val="000000"/>
        </w:rPr>
        <w:t xml:space="preserve">dodatkowo na stronie internetowej zamwaiajacego: </w:t>
      </w:r>
    </w:p>
    <w:p>
      <w:pPr>
        <w:pStyle w:val="Normal"/>
        <w:bidi w:val="0"/>
        <w:spacing w:lineRule="auto" w:line="240" w:before="0" w:after="0"/>
        <w:ind w:hanging="0" w:end="204"/>
        <w:jc w:val="both"/>
        <w:rPr>
          <w:rFonts w:eastAsia="Times New Roman" w:cs="Arial" w:cstheme="minorHAnsi"/>
          <w:lang w:eastAsia="pl-PL"/>
        </w:rPr>
      </w:pPr>
      <w:r>
        <w:rPr>
          <w:rStyle w:val="Hyperlink"/>
          <w:rFonts w:eastAsia="Times New Roman" w:cs="Arial" w:ascii="Arial" w:hAnsi="Arial" w:cstheme="minorHAnsi"/>
          <w:b/>
          <w:bCs/>
          <w:color w:val="000000"/>
          <w:sz w:val="22"/>
          <w:szCs w:val="22"/>
          <w:lang w:eastAsia="pl-PL"/>
        </w:rPr>
        <w:t>www.sp13.glogow.pl</w:t>
      </w:r>
    </w:p>
    <w:p>
      <w:pPr>
        <w:pStyle w:val="Normal"/>
        <w:bidi w:val="0"/>
        <w:spacing w:lineRule="auto" w:line="240" w:before="0" w:after="0"/>
        <w:ind w:hanging="0" w:end="204"/>
        <w:jc w:val="both"/>
        <w:rPr>
          <w:rFonts w:eastAsia="Times New Roman" w:cs="Arial" w:cstheme="minorHAnsi"/>
          <w:lang w:eastAsia="pl-PL"/>
        </w:rPr>
      </w:pPr>
      <w:r>
        <w:rPr>
          <w:rFonts w:eastAsia="Times New Roman" w:cs="Arial" w:cstheme="minorHAnsi"/>
          <w:lang w:eastAsia="pl-PL"/>
        </w:rPr>
      </w:r>
    </w:p>
    <w:p>
      <w:pPr>
        <w:pStyle w:val="Heading1"/>
        <w:pBdr>
          <w:top w:val="single" w:sz="4" w:space="1" w:color="000000"/>
          <w:left w:val="single" w:sz="4" w:space="4" w:color="000000"/>
          <w:bottom w:val="single" w:sz="4" w:space="1" w:color="000000"/>
          <w:right w:val="single" w:sz="4" w:space="4" w:color="000000"/>
        </w:pBdr>
        <w:shd w:val="clear" w:color="auto" w:fill="D9D9D9"/>
        <w:spacing w:lineRule="auto" w:line="276" w:before="0" w:after="0"/>
        <w:ind w:hanging="0"/>
        <w:rPr>
          <w:rFonts w:ascii="Arial" w:hAnsi="Arial" w:cs="Arial"/>
          <w:sz w:val="22"/>
          <w:szCs w:val="22"/>
        </w:rPr>
      </w:pPr>
      <w:r>
        <w:rPr>
          <w:rFonts w:cs="Arial" w:ascii="Arial" w:hAnsi="Arial"/>
          <w:sz w:val="22"/>
          <w:szCs w:val="22"/>
        </w:rPr>
        <w:t xml:space="preserve">ROZDZIAŁ III  - </w:t>
      </w:r>
      <w:r>
        <w:rPr>
          <w:rFonts w:cs="Arial" w:ascii="Arial" w:hAnsi="Arial"/>
          <w:b w:val="false"/>
          <w:bCs/>
          <w:sz w:val="22"/>
          <w:szCs w:val="22"/>
          <w:shd w:fill="D9D9D9" w:val="clear"/>
        </w:rPr>
        <w:t>TRYB UDZIELENIA ZAMÓWIENI</w:t>
      </w:r>
      <w:r>
        <w:rPr>
          <w:rFonts w:cs="Arial" w:ascii="Arial" w:hAnsi="Arial"/>
          <w:b w:val="false"/>
          <w:bCs/>
          <w:iCs/>
          <w:sz w:val="22"/>
          <w:szCs w:val="22"/>
          <w:shd w:fill="D9D9D9" w:val="clear"/>
        </w:rPr>
        <w:t>A</w:t>
      </w:r>
    </w:p>
    <w:p>
      <w:pPr>
        <w:pStyle w:val="Standard"/>
        <w:keepNext w:val="true"/>
        <w:numPr>
          <w:ilvl w:val="0"/>
          <w:numId w:val="51"/>
        </w:numPr>
        <w:tabs>
          <w:tab w:val="clear" w:pos="709"/>
          <w:tab w:val="left" w:pos="852" w:leader="none"/>
          <w:tab w:val="left" w:pos="1419" w:leader="none"/>
          <w:tab w:val="left" w:pos="2128" w:leader="none"/>
          <w:tab w:val="left" w:pos="2695" w:leader="none"/>
        </w:tabs>
        <w:spacing w:lineRule="auto" w:line="276" w:before="60" w:after="60"/>
        <w:ind w:hanging="284" w:start="284"/>
        <w:jc w:val="both"/>
        <w:rPr>
          <w:rFonts w:ascii="Arial" w:hAnsi="Arial" w:cs="Arial"/>
          <w:sz w:val="22"/>
          <w:szCs w:val="22"/>
        </w:rPr>
      </w:pPr>
      <w:r>
        <w:rPr>
          <w:rFonts w:cs="Arial" w:ascii="Arial" w:hAnsi="Arial"/>
          <w:sz w:val="22"/>
          <w:szCs w:val="22"/>
        </w:rPr>
        <w:t xml:space="preserve">Postępowanie o udzielenie zamówienia publicznego prowadzone jest </w:t>
      </w:r>
      <w:r>
        <w:rPr>
          <w:rFonts w:cs="Arial" w:ascii="Arial" w:hAnsi="Arial"/>
          <w:b/>
          <w:bCs/>
          <w:sz w:val="22"/>
          <w:szCs w:val="22"/>
        </w:rPr>
        <w:t>w trybie podstawowym</w:t>
      </w:r>
      <w:r>
        <w:rPr>
          <w:rFonts w:cs="Arial" w:ascii="Arial" w:hAnsi="Arial"/>
          <w:sz w:val="22"/>
          <w:szCs w:val="22"/>
        </w:rPr>
        <w:t xml:space="preserve"> (art. 275 pkt 1 ustawy Pzp)</w:t>
      </w:r>
      <w:r>
        <w:rPr>
          <w:rFonts w:cs="Arial" w:ascii="Arial" w:hAnsi="Arial"/>
          <w:b/>
          <w:bCs/>
          <w:sz w:val="22"/>
          <w:szCs w:val="22"/>
        </w:rPr>
        <w:t xml:space="preserve"> bez możliwości przeprowadzenia negocjacji </w:t>
      </w:r>
      <w:r>
        <w:rPr>
          <w:rFonts w:cs="Arial" w:ascii="Arial" w:hAnsi="Arial"/>
          <w:sz w:val="22"/>
          <w:szCs w:val="22"/>
        </w:rPr>
        <w:t>złożonych ofert na podstawie przepisów ustawy z dnia 11 września 2019 r. Prawo zamówień publicznych  (Dz. U. z 2024 r. poz. 1320 ze zm.), zwaną dalej ustawą Pzp, w procedurze właściwej dla zamówień publicznych o wartości szacunkowej mniejszej niż progi unijne.</w:t>
      </w:r>
    </w:p>
    <w:p>
      <w:pPr>
        <w:pStyle w:val="Standard"/>
        <w:keepNext w:val="true"/>
        <w:numPr>
          <w:ilvl w:val="0"/>
          <w:numId w:val="52"/>
        </w:numPr>
        <w:tabs>
          <w:tab w:val="clear" w:pos="709"/>
          <w:tab w:val="left" w:pos="852" w:leader="none"/>
          <w:tab w:val="left" w:pos="2128" w:leader="none"/>
          <w:tab w:val="left" w:pos="2695" w:leader="none"/>
        </w:tabs>
        <w:spacing w:lineRule="auto" w:line="276" w:before="60" w:after="60"/>
        <w:ind w:hanging="284" w:start="284"/>
        <w:jc w:val="both"/>
        <w:rPr>
          <w:rFonts w:ascii="Arial" w:hAnsi="Arial" w:cs="Arial"/>
          <w:sz w:val="22"/>
          <w:szCs w:val="22"/>
        </w:rPr>
      </w:pPr>
      <w:bookmarkStart w:id="0" w:name="_Hlk65135165"/>
      <w:bookmarkStart w:id="1" w:name="_Hlk534362664"/>
      <w:r>
        <w:rPr>
          <w:rFonts w:cs="Arial" w:ascii="Arial" w:hAnsi="Arial"/>
          <w:sz w:val="22"/>
          <w:szCs w:val="22"/>
        </w:rPr>
        <w:t>W zakresie nieuregulowanym w niniejszej specyfikacji warunków zamówienia, zastosowanie mają przepisy ustawy z dnia 11 września 2019 r. Prawo zamówień publicznych (Dz. U. z 2023 r. poz. 1605, 1720</w:t>
      </w:r>
      <w:r>
        <w:rPr>
          <w:rFonts w:cs="Arial" w:ascii="Arial" w:hAnsi="Arial"/>
          <w:color w:val="000000"/>
          <w:sz w:val="22"/>
          <w:szCs w:val="22"/>
        </w:rPr>
        <w:t>), Rozporządzenia Ministra Rozwoju, Pracy i Technologii z dnia 23 grudnia 2020 r. w sprawie podmiotowych środków dowodowych oraz innych dokumentów lub oświadczeń, jakich może żądać zamawiający od wykonawcy (Dz. U. z 2023 r. poz. 1824)</w:t>
      </w:r>
      <w:bookmarkStart w:id="2" w:name="_Hlk534363275"/>
      <w:r>
        <w:rPr>
          <w:rFonts w:cs="Arial" w:ascii="Arial" w:hAnsi="Arial"/>
          <w:color w:val="000000"/>
          <w:sz w:val="22"/>
          <w:szCs w:val="22"/>
        </w:rPr>
        <w:t xml:space="preserve">,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w:t>
      </w:r>
      <w:bookmarkEnd w:id="2"/>
      <w:r>
        <w:rPr>
          <w:rFonts w:cs="Arial" w:ascii="Arial" w:hAnsi="Arial"/>
          <w:color w:val="000000"/>
          <w:sz w:val="22"/>
          <w:szCs w:val="22"/>
        </w:rPr>
        <w:t xml:space="preserve">oraz ustawy z dnia 23 kwietnia 1964 r. Kodeks cywilny </w:t>
      </w:r>
      <w:bookmarkEnd w:id="0"/>
      <w:bookmarkEnd w:id="1"/>
      <w:r>
        <w:rPr>
          <w:rFonts w:cs="Arial" w:ascii="Arial" w:hAnsi="Arial"/>
          <w:color w:val="000000"/>
          <w:sz w:val="22"/>
          <w:szCs w:val="22"/>
        </w:rPr>
        <w:t>(Dz. U. z 2023 r. poz. 1610, 1615, 1890, 1933, z 2024 r. poz. 653.)</w:t>
      </w:r>
    </w:p>
    <w:p>
      <w:pPr>
        <w:pStyle w:val="Standard"/>
        <w:keepNext w:val="true"/>
        <w:numPr>
          <w:ilvl w:val="0"/>
          <w:numId w:val="53"/>
        </w:numPr>
        <w:tabs>
          <w:tab w:val="clear" w:pos="709"/>
          <w:tab w:val="left" w:pos="852" w:leader="none"/>
          <w:tab w:val="left" w:pos="2128" w:leader="none"/>
          <w:tab w:val="left" w:pos="2695" w:leader="none"/>
        </w:tabs>
        <w:spacing w:lineRule="auto" w:line="276" w:before="60" w:after="60"/>
        <w:ind w:hanging="284" w:start="284"/>
        <w:jc w:val="both"/>
        <w:rPr>
          <w:rFonts w:ascii="Arial" w:hAnsi="Arial" w:cs="Arial"/>
          <w:sz w:val="22"/>
          <w:szCs w:val="22"/>
        </w:rPr>
      </w:pPr>
      <w:r>
        <w:rPr>
          <w:rFonts w:cs="Arial" w:ascii="Arial" w:hAnsi="Arial"/>
          <w:sz w:val="22"/>
          <w:szCs w:val="22"/>
        </w:rPr>
        <w:t>Zamawiający</w:t>
      </w:r>
      <w:r>
        <w:rPr>
          <w:rFonts w:cs="Arial" w:ascii="Arial" w:hAnsi="Arial"/>
          <w:color w:val="000000"/>
          <w:sz w:val="22"/>
          <w:szCs w:val="22"/>
        </w:rPr>
        <w:t xml:space="preserve"> </w:t>
      </w:r>
      <w:r>
        <w:rPr>
          <w:rFonts w:cs="Arial" w:ascii="Arial" w:hAnsi="Arial"/>
          <w:color w:val="000000"/>
          <w:sz w:val="22"/>
          <w:szCs w:val="22"/>
          <w:u w:val="single"/>
        </w:rPr>
        <w:t>nie przewiduje</w:t>
      </w:r>
      <w:r>
        <w:rPr>
          <w:rFonts w:cs="Arial" w:ascii="Arial" w:hAnsi="Arial"/>
          <w:color w:val="000000"/>
          <w:sz w:val="22"/>
          <w:szCs w:val="22"/>
        </w:rPr>
        <w:t xml:space="preserve"> zawarcia umowy ramowej.</w:t>
      </w:r>
    </w:p>
    <w:p>
      <w:pPr>
        <w:pStyle w:val="ListParagraph"/>
        <w:numPr>
          <w:ilvl w:val="0"/>
          <w:numId w:val="54"/>
        </w:numPr>
        <w:spacing w:before="60" w:after="60"/>
        <w:ind w:hanging="284" w:start="284"/>
        <w:jc w:val="both"/>
        <w:rPr>
          <w:rFonts w:ascii="Arial" w:hAnsi="Arial" w:cs="Arial"/>
        </w:rPr>
      </w:pPr>
      <w:r>
        <w:rPr>
          <w:rFonts w:cs="Arial" w:ascii="Arial" w:hAnsi="Arial"/>
          <w:iCs/>
          <w:spacing w:val="-2"/>
        </w:rPr>
        <w:t xml:space="preserve">Zamawiający </w:t>
      </w:r>
      <w:r>
        <w:rPr>
          <w:rFonts w:cs="Arial" w:ascii="Arial" w:hAnsi="Arial"/>
          <w:iCs/>
          <w:spacing w:val="-2"/>
          <w:u w:val="single"/>
        </w:rPr>
        <w:t>nie przewiduje</w:t>
      </w:r>
      <w:r>
        <w:rPr>
          <w:rFonts w:cs="Arial" w:ascii="Arial" w:hAnsi="Arial"/>
          <w:iCs/>
          <w:spacing w:val="-2"/>
        </w:rPr>
        <w:t xml:space="preserve"> wyboru najkorzystniejszej oferty z zastosowaniem aukcji elektronicznej wraz z informacjami, o których mowa w art. 230 ustawy Pzp.</w:t>
      </w:r>
    </w:p>
    <w:p>
      <w:pPr>
        <w:pStyle w:val="ListParagraph"/>
        <w:numPr>
          <w:ilvl w:val="0"/>
          <w:numId w:val="55"/>
        </w:numPr>
        <w:spacing w:before="60" w:after="60"/>
        <w:ind w:hanging="284" w:start="284"/>
        <w:jc w:val="both"/>
        <w:rPr>
          <w:rFonts w:ascii="Arial" w:hAnsi="Arial" w:cs="Arial"/>
        </w:rPr>
      </w:pPr>
      <w:r>
        <w:rPr>
          <w:rFonts w:cs="Arial" w:ascii="Arial" w:hAnsi="Arial"/>
          <w:iCs/>
          <w:spacing w:val="-2"/>
        </w:rPr>
        <w:t xml:space="preserve">Zamawiający </w:t>
      </w:r>
      <w:r>
        <w:rPr>
          <w:rFonts w:cs="Arial" w:ascii="Arial" w:hAnsi="Arial"/>
          <w:iCs/>
          <w:spacing w:val="-2"/>
          <w:u w:val="single"/>
        </w:rPr>
        <w:t>nie przewiduje</w:t>
      </w:r>
      <w:r>
        <w:rPr>
          <w:rFonts w:cs="Arial" w:ascii="Arial" w:hAnsi="Arial"/>
          <w:iCs/>
          <w:spacing w:val="-2"/>
        </w:rPr>
        <w:t xml:space="preserve"> wyboru oferty najkorzystniejszej z możliwością przeprowadzenia negocjacji.</w:t>
      </w:r>
    </w:p>
    <w:p>
      <w:pPr>
        <w:pStyle w:val="ListParagraph"/>
        <w:numPr>
          <w:ilvl w:val="0"/>
          <w:numId w:val="56"/>
        </w:numPr>
        <w:spacing w:before="60" w:after="60"/>
        <w:ind w:hanging="284" w:start="284"/>
        <w:jc w:val="both"/>
        <w:rPr>
          <w:rFonts w:ascii="Arial" w:hAnsi="Arial" w:cs="Arial"/>
        </w:rPr>
      </w:pPr>
      <w:r>
        <w:rPr>
          <w:rFonts w:cs="Arial" w:ascii="Arial" w:hAnsi="Arial"/>
          <w:iCs/>
          <w:spacing w:val="-2"/>
        </w:rPr>
        <w:t>Zamawiający</w:t>
      </w:r>
      <w:r>
        <w:rPr>
          <w:rFonts w:cs="Arial" w:ascii="Arial" w:hAnsi="Arial"/>
        </w:rPr>
        <w:t xml:space="preserve"> </w:t>
      </w:r>
      <w:r>
        <w:rPr>
          <w:rFonts w:cs="Arial" w:ascii="Arial" w:hAnsi="Arial"/>
          <w:u w:val="single"/>
        </w:rPr>
        <w:t>nie dopuszcza</w:t>
      </w:r>
      <w:r>
        <w:rPr>
          <w:rFonts w:cs="Arial" w:ascii="Arial" w:hAnsi="Arial"/>
          <w:b/>
          <w:bCs/>
        </w:rPr>
        <w:t xml:space="preserve"> </w:t>
      </w:r>
      <w:r>
        <w:rPr>
          <w:rFonts w:cs="Arial" w:ascii="Arial" w:hAnsi="Arial"/>
        </w:rPr>
        <w:t>możliwości składania ofert częściowych.</w:t>
      </w:r>
    </w:p>
    <w:p>
      <w:pPr>
        <w:pStyle w:val="ListParagraph"/>
        <w:spacing w:before="60" w:after="60"/>
        <w:ind w:hanging="0" w:start="284"/>
        <w:jc w:val="both"/>
        <w:rPr>
          <w:rFonts w:ascii="Arial" w:hAnsi="Arial" w:cs="Arial"/>
        </w:rPr>
      </w:pPr>
      <w:r>
        <w:rPr>
          <w:rFonts w:cs="Arial" w:ascii="Arial" w:hAnsi="Arial"/>
        </w:rPr>
        <w:t xml:space="preserve">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w:t>
      </w:r>
    </w:p>
    <w:p>
      <w:pPr>
        <w:pStyle w:val="ListParagraph"/>
        <w:spacing w:before="60" w:after="60"/>
        <w:ind w:hanging="0" w:start="284"/>
        <w:jc w:val="both"/>
        <w:rPr>
          <w:rFonts w:ascii="Arial" w:hAnsi="Arial" w:cs="Arial"/>
        </w:rPr>
      </w:pPr>
      <w:r>
        <w:rPr>
          <w:rFonts w:cs="Arial" w:ascii="Arial" w:hAnsi="Arial"/>
        </w:rPr>
        <w:t xml:space="preserve">Zamówienie nie zostało podzielone na części z następujących powodów: </w:t>
      </w:r>
    </w:p>
    <w:p>
      <w:pPr>
        <w:pStyle w:val="ListParagraph"/>
        <w:spacing w:before="60" w:after="60"/>
        <w:ind w:hanging="0" w:start="284"/>
        <w:jc w:val="both"/>
        <w:rPr>
          <w:rFonts w:ascii="Arial" w:hAnsi="Arial" w:cs="Arial"/>
        </w:rPr>
      </w:pPr>
      <w:r>
        <w:rPr>
          <w:rFonts w:eastAsia="Symbol" w:cs="Symbol" w:ascii="Symbol" w:hAnsi="Symbol"/>
        </w:rPr>
        <w:t></w:t>
      </w:r>
      <w:r>
        <w:rPr>
          <w:rFonts w:cs="Arial" w:ascii="Arial" w:hAnsi="Arial"/>
        </w:rPr>
        <w:t xml:space="preserve"> </w:t>
      </w:r>
      <w:r>
        <w:rPr>
          <w:rFonts w:cs="Arial" w:ascii="Arial" w:hAnsi="Arial"/>
        </w:rPr>
        <w:t xml:space="preserve">wielkość zamówienia oraz jego specyfika odpowiadają możliwościom wykonawczym małych i średnich przedsiębiorstw, przez co możliwość ubiegania się o uzyskanie zamówienia nie zostaje ograniczona w stosunku do tych podmiotów, </w:t>
      </w:r>
    </w:p>
    <w:p>
      <w:pPr>
        <w:pStyle w:val="ListParagraph"/>
        <w:spacing w:before="60" w:after="60"/>
        <w:ind w:hanging="0" w:start="284"/>
        <w:jc w:val="both"/>
        <w:rPr>
          <w:rFonts w:ascii="Arial" w:hAnsi="Arial" w:cs="Arial"/>
        </w:rPr>
      </w:pPr>
      <w:r>
        <w:rPr>
          <w:rFonts w:eastAsia="Symbol" w:cs="Symbol" w:ascii="Symbol" w:hAnsi="Symbol"/>
        </w:rPr>
        <w:t></w:t>
      </w:r>
      <w:r>
        <w:rPr>
          <w:rFonts w:cs="Arial" w:ascii="Arial" w:hAnsi="Arial"/>
        </w:rPr>
        <w:t xml:space="preserve"> </w:t>
      </w:r>
      <w:r>
        <w:rPr>
          <w:rFonts w:cs="Arial" w:ascii="Arial" w:hAnsi="Arial"/>
        </w:rPr>
        <w:t xml:space="preserve">w postępowaniach na dostawę oleju opałowego, przeprowadzanych  oferty składały wyłącznie firmy z sektora MSP. </w:t>
      </w:r>
    </w:p>
    <w:p>
      <w:pPr>
        <w:pStyle w:val="ListParagraph"/>
        <w:spacing w:before="60" w:after="60"/>
        <w:ind w:hanging="0" w:start="284"/>
        <w:jc w:val="both"/>
        <w:rPr>
          <w:rFonts w:ascii="Arial" w:hAnsi="Arial" w:cs="Arial"/>
        </w:rPr>
      </w:pPr>
      <w:r>
        <w:rPr>
          <w:rFonts w:cs="Arial" w:ascii="Arial" w:hAnsi="Arial"/>
        </w:rPr>
        <w:t>Zamówienie poprzez swoją wartość jest wprost kierowane do MŚP biorąc pod uwagę, że definicyjnie mikroprzedsiębiorstwo może rocznie wykazywać obrót nieprzekraczający 2 mln. euro, małe przedsiębiorstwo 10 mln. euro, a średnie 43 mln euro.</w:t>
      </w:r>
    </w:p>
    <w:p>
      <w:pPr>
        <w:pStyle w:val="ListParagraph"/>
        <w:spacing w:before="60" w:after="60"/>
        <w:ind w:hanging="0" w:start="284"/>
        <w:jc w:val="both"/>
        <w:rPr>
          <w:rFonts w:ascii="Arial" w:hAnsi="Arial" w:cs="Arial"/>
        </w:rPr>
      </w:pPr>
      <w:r>
        <w:rPr>
          <w:rFonts w:cs="Arial" w:ascii="Arial" w:hAnsi="Arial"/>
        </w:rPr>
        <w:t>Zastosowany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pPr>
        <w:pStyle w:val="ListParagraph"/>
        <w:numPr>
          <w:ilvl w:val="0"/>
          <w:numId w:val="57"/>
        </w:numPr>
        <w:tabs>
          <w:tab w:val="clear" w:pos="709"/>
          <w:tab w:val="left" w:pos="852" w:leader="none"/>
        </w:tabs>
        <w:spacing w:before="60" w:after="60"/>
        <w:ind w:hanging="284" w:start="284"/>
        <w:jc w:val="both"/>
        <w:rPr>
          <w:rFonts w:ascii="Arial" w:hAnsi="Arial" w:cs="Arial"/>
        </w:rPr>
      </w:pPr>
      <w:r>
        <w:rPr>
          <w:rFonts w:eastAsia="Times New Roman" w:cs="Arial" w:ascii="Arial" w:hAnsi="Arial"/>
          <w:lang w:eastAsia="pl-PL"/>
        </w:rPr>
        <w:t xml:space="preserve">Zamawiający </w:t>
      </w:r>
      <w:r>
        <w:rPr>
          <w:rFonts w:cs="Arial" w:ascii="Arial" w:hAnsi="Arial"/>
          <w:u w:val="single"/>
        </w:rPr>
        <w:t>nie dopuszcza</w:t>
      </w:r>
      <w:r>
        <w:rPr>
          <w:rFonts w:eastAsia="Times New Roman" w:cs="Arial" w:ascii="Arial" w:hAnsi="Arial"/>
          <w:lang w:eastAsia="pl-PL"/>
        </w:rPr>
        <w:t xml:space="preserve"> możliwości składania ofert wariantowych oraz w postaci katalogów elektronicznych.</w:t>
      </w:r>
    </w:p>
    <w:p>
      <w:pPr>
        <w:pStyle w:val="Normal"/>
        <w:numPr>
          <w:ilvl w:val="0"/>
          <w:numId w:val="58"/>
        </w:numPr>
        <w:bidi w:val="0"/>
        <w:spacing w:lineRule="auto" w:line="276" w:before="0" w:after="0"/>
        <w:ind w:hanging="284" w:start="284"/>
        <w:contextualSpacing/>
        <w:jc w:val="both"/>
        <w:rPr>
          <w:rFonts w:cs="Arial" w:cstheme="minorHAnsi"/>
        </w:rPr>
      </w:pPr>
      <w:r>
        <w:rPr>
          <w:rFonts w:cs="Arial" w:ascii="Arial" w:hAnsi="Arial" w:cstheme="minorHAnsi"/>
          <w:sz w:val="21"/>
          <w:szCs w:val="21"/>
        </w:rPr>
        <w:t>Zamawiający nie określa wymagań związanych z realizacją zamówienia, o których mowa w art. 95 ust. 1 ustawy Pzp.</w:t>
      </w:r>
    </w:p>
    <w:p>
      <w:pPr>
        <w:pStyle w:val="ListParagraph"/>
        <w:numPr>
          <w:ilvl w:val="0"/>
          <w:numId w:val="59"/>
        </w:numPr>
        <w:spacing w:lineRule="auto" w:line="276" w:before="0" w:after="0"/>
        <w:ind w:hanging="284" w:start="284"/>
        <w:contextualSpacing/>
        <w:jc w:val="both"/>
        <w:rPr>
          <w:rFonts w:cs="Arial" w:cstheme="minorHAnsi"/>
        </w:rPr>
      </w:pPr>
      <w:r>
        <w:rPr>
          <w:rFonts w:cs="Arial" w:ascii="Arial" w:hAnsi="Arial" w:cstheme="minorHAnsi"/>
          <w:sz w:val="21"/>
          <w:szCs w:val="21"/>
        </w:rPr>
        <w:t>Zamawiający nie określa dodatkowych wymagań związanych z zatrudnianiem osób, o których mowa w art. 96 ust. 2 pkt 2 ustawy Pzp.</w:t>
      </w:r>
    </w:p>
    <w:p>
      <w:pPr>
        <w:pStyle w:val="ListParagraph"/>
        <w:numPr>
          <w:ilvl w:val="0"/>
          <w:numId w:val="60"/>
        </w:numPr>
        <w:spacing w:lineRule="auto" w:line="276" w:before="0" w:after="0"/>
        <w:ind w:hanging="284" w:start="284"/>
        <w:contextualSpacing/>
        <w:jc w:val="both"/>
        <w:rPr>
          <w:rFonts w:cs="Arial" w:cstheme="minorHAnsi"/>
        </w:rPr>
      </w:pPr>
      <w:r>
        <w:rPr>
          <w:rFonts w:cs="Arial" w:ascii="Arial" w:hAnsi="Arial" w:cstheme="minorHAnsi"/>
          <w:sz w:val="21"/>
          <w:szCs w:val="21"/>
        </w:rPr>
        <w:t>Zamawiający nie przewiduje zwrotu kosztów udziału w postępowaniu.</w:t>
      </w:r>
    </w:p>
    <w:p>
      <w:pPr>
        <w:pStyle w:val="ListParagraph"/>
        <w:numPr>
          <w:ilvl w:val="0"/>
          <w:numId w:val="0"/>
        </w:numPr>
        <w:tabs>
          <w:tab w:val="clear" w:pos="709"/>
          <w:tab w:val="left" w:pos="1070" w:leader="none"/>
        </w:tabs>
        <w:spacing w:lineRule="auto" w:line="276" w:before="0" w:after="0"/>
        <w:ind w:hanging="0" w:start="502"/>
        <w:contextualSpacing/>
        <w:jc w:val="both"/>
        <w:rPr>
          <w:rFonts w:cs="Arial" w:cstheme="minorHAnsi"/>
        </w:rPr>
      </w:pPr>
      <w:r>
        <w:rPr>
          <w:rFonts w:cs="Arial" w:ascii="Arial" w:hAnsi="Arial" w:cstheme="minorHAnsi"/>
          <w:sz w:val="21"/>
          <w:szCs w:val="21"/>
        </w:rPr>
        <w:t>Zamawiający nie przewiduje rozliczenia w walutach obcych.</w:t>
      </w:r>
    </w:p>
    <w:p>
      <w:pPr>
        <w:pStyle w:val="Standard"/>
        <w:widowControl w:val="false"/>
        <w:numPr>
          <w:ilvl w:val="0"/>
          <w:numId w:val="61"/>
        </w:numPr>
        <w:shd w:val="clear" w:color="auto" w:fill="FFFFFF"/>
        <w:tabs>
          <w:tab w:val="clear" w:pos="709"/>
          <w:tab w:val="left" w:pos="568" w:leader="none"/>
          <w:tab w:val="left" w:pos="1277" w:leader="none"/>
        </w:tabs>
        <w:spacing w:lineRule="auto" w:line="276" w:before="60" w:after="60"/>
        <w:ind w:hanging="0" w:start="142"/>
        <w:jc w:val="both"/>
        <w:rPr>
          <w:rFonts w:ascii="Arial" w:hAnsi="Arial" w:cs="Arial"/>
          <w:sz w:val="22"/>
          <w:szCs w:val="22"/>
        </w:rPr>
      </w:pPr>
      <w:r>
        <w:rPr>
          <w:rFonts w:cs="Arial" w:ascii="Arial" w:hAnsi="Arial"/>
          <w:bCs/>
          <w:sz w:val="22"/>
          <w:szCs w:val="22"/>
        </w:rPr>
        <w:t xml:space="preserve">Zamawiający </w:t>
      </w:r>
      <w:r>
        <w:rPr>
          <w:rFonts w:cs="Arial" w:ascii="Arial" w:hAnsi="Arial"/>
          <w:bCs/>
          <w:sz w:val="22"/>
          <w:szCs w:val="22"/>
          <w:u w:val="single"/>
        </w:rPr>
        <w:t>nie zastrzega</w:t>
      </w:r>
      <w:r>
        <w:rPr>
          <w:rFonts w:cs="Arial" w:ascii="Arial" w:hAnsi="Arial"/>
          <w:bCs/>
          <w:sz w:val="22"/>
          <w:szCs w:val="22"/>
        </w:rPr>
        <w:t xml:space="preserve"> osobistego obowiązku wykonania przez Wykonawcę kluczowych zadań.</w:t>
      </w:r>
    </w:p>
    <w:p>
      <w:pPr>
        <w:pStyle w:val="Standard"/>
        <w:keepNext w:val="true"/>
        <w:widowControl w:val="false"/>
        <w:pBdr>
          <w:top w:val="single" w:sz="4" w:space="1" w:color="000000"/>
          <w:left w:val="single" w:sz="4" w:space="4" w:color="000000"/>
          <w:bottom w:val="single" w:sz="4" w:space="1" w:color="000000"/>
          <w:right w:val="single" w:sz="4" w:space="4" w:color="000000"/>
        </w:pBdr>
        <w:shd w:val="clear" w:color="auto" w:fill="D9D9D9"/>
        <w:tabs>
          <w:tab w:val="clear" w:pos="709"/>
          <w:tab w:val="left" w:pos="1702" w:leader="none"/>
          <w:tab w:val="left" w:pos="2836" w:leader="none"/>
          <w:tab w:val="left" w:pos="3403" w:leader="none"/>
        </w:tabs>
        <w:spacing w:lineRule="auto" w:line="276" w:before="60" w:after="60"/>
        <w:ind w:hanging="1276" w:start="1276"/>
        <w:jc w:val="start"/>
        <w:rPr>
          <w:rFonts w:ascii="Arial" w:hAnsi="Arial" w:cs="Arial"/>
          <w:sz w:val="22"/>
          <w:szCs w:val="22"/>
        </w:rPr>
      </w:pPr>
      <w:bookmarkStart w:id="3" w:name="_Hlk534621200"/>
      <w:bookmarkEnd w:id="3"/>
      <w:r>
        <w:rPr>
          <w:rFonts w:cs="Arial" w:ascii="Arial" w:hAnsi="Arial"/>
          <w:b/>
          <w:bCs/>
          <w:i w:val="false"/>
          <w:iCs w:val="false"/>
          <w:color w:val="000000"/>
          <w:sz w:val="22"/>
          <w:szCs w:val="22"/>
          <w:u w:val="single"/>
        </w:rPr>
        <w:t>ROZDZIAŁ IV - PRZEDMIOT ZAMÓWIENIA</w:t>
      </w:r>
    </w:p>
    <w:p>
      <w:pPr>
        <w:pStyle w:val="ListParagraph"/>
        <w:numPr>
          <w:ilvl w:val="1"/>
          <w:numId w:val="1"/>
        </w:numPr>
        <w:tabs>
          <w:tab w:val="clear" w:pos="709"/>
          <w:tab w:val="decimal" w:pos="10490" w:leader="dot"/>
        </w:tabs>
        <w:spacing w:lineRule="auto" w:line="276" w:before="0" w:after="0"/>
        <w:ind w:hanging="284" w:start="284"/>
        <w:contextualSpacing/>
        <w:jc w:val="both"/>
        <w:rPr>
          <w:rFonts w:eastAsia="Times New Roman" w:cs="Arial" w:cstheme="minorHAnsi"/>
          <w:b/>
          <w:lang w:eastAsia="pl-PL"/>
        </w:rPr>
      </w:pPr>
      <w:r>
        <w:rPr>
          <w:rFonts w:eastAsia="Times New Roman" w:cs="Arial" w:ascii="Arial" w:hAnsi="Arial" w:cstheme="minorHAnsi"/>
          <w:b/>
          <w:sz w:val="22"/>
          <w:szCs w:val="22"/>
          <w:lang w:eastAsia="pl-PL"/>
        </w:rPr>
        <w:t>Przedmiot zamówienia:</w:t>
      </w:r>
    </w:p>
    <w:p>
      <w:pPr>
        <w:pStyle w:val="ListParagraph"/>
        <w:tabs>
          <w:tab w:val="clear" w:pos="709"/>
          <w:tab w:val="decimal" w:pos="10490" w:leader="dot"/>
        </w:tabs>
        <w:spacing w:lineRule="auto" w:line="276" w:before="0" w:after="0"/>
        <w:ind w:hanging="0" w:start="284"/>
        <w:contextualSpacing/>
        <w:jc w:val="both"/>
        <w:rPr>
          <w:rFonts w:ascii="Arial" w:hAnsi="Arial"/>
          <w:sz w:val="22"/>
          <w:szCs w:val="22"/>
        </w:rPr>
      </w:pPr>
      <w:r>
        <w:rPr>
          <w:rFonts w:ascii="Arial" w:hAnsi="Arial"/>
          <w:sz w:val="22"/>
          <w:szCs w:val="22"/>
        </w:rPr>
        <w:t>Przedmiot zamówienia obejmuje zakup oraz sukcesywne dostawy oleju opałowego lekkiego na potrzeby Szkoły Podstawowej nr 13 im. Orląt Lwowskich w Głogowie.</w:t>
      </w:r>
    </w:p>
    <w:p>
      <w:pPr>
        <w:pStyle w:val="ListParagraph"/>
        <w:tabs>
          <w:tab w:val="clear" w:pos="709"/>
          <w:tab w:val="decimal" w:pos="10490" w:leader="dot"/>
        </w:tabs>
        <w:spacing w:lineRule="auto" w:line="276" w:before="0" w:after="0"/>
        <w:ind w:hanging="0" w:start="284"/>
        <w:contextualSpacing/>
        <w:jc w:val="both"/>
        <w:rPr>
          <w:b/>
          <w:bCs/>
        </w:rPr>
      </w:pPr>
      <w:r>
        <w:rPr>
          <w:rFonts w:ascii="Arial" w:hAnsi="Arial"/>
          <w:b/>
          <w:bCs/>
          <w:sz w:val="22"/>
          <w:szCs w:val="22"/>
        </w:rPr>
        <w:t>Olej opałowy lekki L – 1 według Polskiej Normy PN C – 96024 powinien spełniać wymagania:</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1) gęstość w 15</w:t>
      </w:r>
      <w:r>
        <w:rPr>
          <w:rFonts w:ascii="Arial" w:hAnsi="Arial"/>
          <w:sz w:val="22"/>
          <w:szCs w:val="22"/>
          <w:vertAlign w:val="superscript"/>
        </w:rPr>
        <w:t>0</w:t>
      </w:r>
      <w:r>
        <w:rPr>
          <w:rFonts w:ascii="Arial" w:hAnsi="Arial"/>
          <w:sz w:val="22"/>
          <w:szCs w:val="22"/>
        </w:rPr>
        <w:t xml:space="preserve"> C, max</w:t>
        <w:tab/>
        <w:tab/>
        <w:tab/>
        <w:tab/>
        <w:t>-</w:t>
        <w:tab/>
        <w:t>0,860g/m</w:t>
      </w:r>
      <w:r>
        <w:rPr>
          <w:rFonts w:ascii="Arial" w:hAnsi="Arial"/>
          <w:sz w:val="22"/>
          <w:szCs w:val="22"/>
          <w:vertAlign w:val="superscript"/>
        </w:rPr>
        <w:t>3</w:t>
      </w:r>
      <w:r>
        <w:rPr>
          <w:rFonts w:ascii="Arial" w:hAnsi="Arial"/>
          <w:sz w:val="22"/>
          <w:szCs w:val="22"/>
        </w:rPr>
        <w:t>,</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2) wartość opałową, min.</w:t>
        <w:tab/>
        <w:tab/>
        <w:tab/>
        <w:tab/>
        <w:t>-</w:t>
        <w:tab/>
        <w:t>42,6 MJ/kg,</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3) temperatura zapłonu, min.</w:t>
        <w:tab/>
        <w:tab/>
        <w:tab/>
        <w:t>-</w:t>
        <w:tab/>
        <w:t>56</w:t>
      </w:r>
      <w:r>
        <w:rPr>
          <w:rFonts w:ascii="Arial" w:hAnsi="Arial"/>
          <w:sz w:val="22"/>
          <w:szCs w:val="22"/>
          <w:vertAlign w:val="superscript"/>
        </w:rPr>
        <w:t>0</w:t>
      </w:r>
      <w:r>
        <w:rPr>
          <w:rFonts w:ascii="Arial" w:hAnsi="Arial"/>
          <w:sz w:val="22"/>
          <w:szCs w:val="22"/>
        </w:rPr>
        <w:t xml:space="preserve"> C,</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4) lepkość kinematyczna w 20</w:t>
      </w:r>
      <w:r>
        <w:rPr>
          <w:rFonts w:ascii="Arial" w:hAnsi="Arial"/>
          <w:sz w:val="22"/>
          <w:szCs w:val="22"/>
          <w:vertAlign w:val="superscript"/>
        </w:rPr>
        <w:t>0</w:t>
      </w:r>
      <w:r>
        <w:rPr>
          <w:rFonts w:ascii="Arial" w:hAnsi="Arial"/>
          <w:sz w:val="22"/>
          <w:szCs w:val="22"/>
        </w:rPr>
        <w:t xml:space="preserve"> C, max.</w:t>
        <w:tab/>
        <w:tab/>
        <w:t>-</w:t>
        <w:tab/>
        <w:t>6,00 mm</w:t>
      </w:r>
      <w:r>
        <w:rPr>
          <w:rFonts w:ascii="Arial" w:hAnsi="Arial"/>
          <w:sz w:val="22"/>
          <w:szCs w:val="22"/>
          <w:vertAlign w:val="superscript"/>
        </w:rPr>
        <w:t>2</w:t>
      </w:r>
      <w:r>
        <w:rPr>
          <w:rFonts w:ascii="Arial" w:hAnsi="Arial"/>
          <w:sz w:val="22"/>
          <w:szCs w:val="22"/>
        </w:rPr>
        <w:t>/s</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5) skład frakcyjny:</w:t>
      </w:r>
    </w:p>
    <w:p>
      <w:pPr>
        <w:pStyle w:val="Normal"/>
        <w:widowControl w:val="false"/>
        <w:numPr>
          <w:ilvl w:val="0"/>
          <w:numId w:val="2"/>
        </w:numPr>
        <w:bidi w:val="0"/>
        <w:spacing w:lineRule="auto" w:line="240" w:before="0" w:after="0"/>
        <w:ind w:hanging="426" w:start="1560"/>
        <w:jc w:val="both"/>
        <w:rPr>
          <w:rFonts w:ascii="Arial" w:hAnsi="Arial"/>
          <w:sz w:val="22"/>
          <w:szCs w:val="22"/>
        </w:rPr>
      </w:pPr>
      <w:r>
        <w:rPr>
          <w:rFonts w:ascii="Arial" w:hAnsi="Arial"/>
          <w:sz w:val="22"/>
          <w:szCs w:val="22"/>
        </w:rPr>
        <w:t>do 250</w:t>
      </w:r>
      <w:r>
        <w:rPr>
          <w:rFonts w:ascii="Arial" w:hAnsi="Arial"/>
          <w:sz w:val="22"/>
          <w:szCs w:val="22"/>
          <w:vertAlign w:val="superscript"/>
        </w:rPr>
        <w:t>0</w:t>
      </w:r>
      <w:r>
        <w:rPr>
          <w:rFonts w:ascii="Arial" w:hAnsi="Arial"/>
          <w:sz w:val="22"/>
          <w:szCs w:val="22"/>
        </w:rPr>
        <w:t xml:space="preserve"> C destyluje, max.</w:t>
        <w:tab/>
        <w:tab/>
        <w:t>-</w:t>
        <w:tab/>
        <w:t>65 % (V/V),</w:t>
      </w:r>
    </w:p>
    <w:p>
      <w:pPr>
        <w:pStyle w:val="Normal"/>
        <w:widowControl w:val="false"/>
        <w:numPr>
          <w:ilvl w:val="0"/>
          <w:numId w:val="2"/>
        </w:numPr>
        <w:bidi w:val="0"/>
        <w:spacing w:lineRule="auto" w:line="240" w:before="0" w:after="0"/>
        <w:ind w:hanging="426" w:start="1560"/>
        <w:jc w:val="both"/>
        <w:rPr>
          <w:rFonts w:ascii="Arial" w:hAnsi="Arial"/>
          <w:sz w:val="22"/>
          <w:szCs w:val="22"/>
        </w:rPr>
      </w:pPr>
      <w:r>
        <w:rPr>
          <w:rFonts w:ascii="Arial" w:hAnsi="Arial"/>
          <w:sz w:val="22"/>
          <w:szCs w:val="22"/>
        </w:rPr>
        <w:t>do 350</w:t>
      </w:r>
      <w:r>
        <w:rPr>
          <w:rFonts w:ascii="Arial" w:hAnsi="Arial"/>
          <w:sz w:val="22"/>
          <w:szCs w:val="22"/>
          <w:vertAlign w:val="superscript"/>
        </w:rPr>
        <w:t>0</w:t>
      </w:r>
      <w:r>
        <w:rPr>
          <w:rFonts w:ascii="Arial" w:hAnsi="Arial"/>
          <w:sz w:val="22"/>
          <w:szCs w:val="22"/>
        </w:rPr>
        <w:t xml:space="preserve"> C destyluje, min.</w:t>
        <w:tab/>
        <w:tab/>
        <w:t>-</w:t>
        <w:tab/>
        <w:t>85 % (V/V),</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6) temperatura płynięcia, max.</w:t>
        <w:tab/>
        <w:tab/>
        <w:tab/>
        <w:t>-</w:t>
        <w:tab/>
        <w:t>- 20</w:t>
      </w:r>
      <w:r>
        <w:rPr>
          <w:rFonts w:ascii="Arial" w:hAnsi="Arial"/>
          <w:sz w:val="22"/>
          <w:szCs w:val="22"/>
          <w:vertAlign w:val="superscript"/>
        </w:rPr>
        <w:t>0</w:t>
      </w:r>
      <w:r>
        <w:rPr>
          <w:rFonts w:ascii="Arial" w:hAnsi="Arial"/>
          <w:sz w:val="22"/>
          <w:szCs w:val="22"/>
        </w:rPr>
        <w:t xml:space="preserve"> C,</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7) pozostałość po koksowaniu z 10 %</w:t>
      </w:r>
    </w:p>
    <w:p>
      <w:pPr>
        <w:pStyle w:val="Normal"/>
        <w:widowControl w:val="false"/>
        <w:bidi w:val="0"/>
        <w:spacing w:before="0" w:after="0"/>
        <w:ind w:hanging="2268" w:start="2552"/>
        <w:jc w:val="both"/>
        <w:rPr>
          <w:rFonts w:ascii="Arial" w:hAnsi="Arial"/>
          <w:sz w:val="22"/>
          <w:szCs w:val="22"/>
        </w:rPr>
      </w:pPr>
      <w:r>
        <w:rPr>
          <w:rFonts w:ascii="Arial" w:hAnsi="Arial"/>
          <w:sz w:val="22"/>
          <w:szCs w:val="22"/>
        </w:rPr>
        <w:t xml:space="preserve">     </w:t>
      </w:r>
      <w:r>
        <w:rPr>
          <w:rFonts w:ascii="Arial" w:hAnsi="Arial"/>
          <w:sz w:val="22"/>
          <w:szCs w:val="22"/>
        </w:rPr>
        <w:t>pozostałości destylacyjnej, max.</w:t>
        <w:tab/>
        <w:tab/>
        <w:tab/>
        <w:t>-</w:t>
        <w:tab/>
        <w:t>0,3 % (m/m),</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8) zawartość siarki, max.</w:t>
        <w:tab/>
        <w:tab/>
        <w:tab/>
        <w:tab/>
        <w:t>-</w:t>
        <w:tab/>
        <w:t>0,2 % (m/m),</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9) zawartość wody, max.</w:t>
        <w:tab/>
        <w:tab/>
        <w:tab/>
        <w:tab/>
        <w:t>-</w:t>
        <w:tab/>
        <w:t>200 mg/kg,</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10)zawartość zanieczyszczeń stałych, max.</w:t>
        <w:tab/>
        <w:tab/>
        <w:t>-</w:t>
        <w:tab/>
        <w:t>24 mg/kg,</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11) pozostałość po spopieleniu, max.</w:t>
        <w:tab/>
        <w:tab/>
        <w:t>-</w:t>
        <w:tab/>
        <w:t>0,01 % (m/m),</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t>12) barwa</w:t>
        <w:tab/>
        <w:tab/>
        <w:tab/>
        <w:tab/>
        <w:tab/>
        <w:tab/>
        <w:t>-</w:t>
        <w:tab/>
        <w:t>czerwona,</w:t>
      </w:r>
    </w:p>
    <w:p>
      <w:pPr>
        <w:pStyle w:val="Normal"/>
        <w:widowControl w:val="false"/>
        <w:bidi w:val="0"/>
        <w:spacing w:before="0" w:after="0"/>
        <w:ind w:hanging="1276" w:start="1560"/>
        <w:jc w:val="both"/>
        <w:rPr>
          <w:rFonts w:ascii="Arial" w:hAnsi="Arial"/>
          <w:sz w:val="22"/>
          <w:szCs w:val="22"/>
        </w:rPr>
      </w:pPr>
      <w:r>
        <w:rPr>
          <w:rFonts w:ascii="Arial" w:hAnsi="Arial"/>
          <w:sz w:val="22"/>
          <w:szCs w:val="22"/>
        </w:rPr>
      </w:r>
    </w:p>
    <w:p>
      <w:pPr>
        <w:pStyle w:val="ListParagraph"/>
        <w:numPr>
          <w:ilvl w:val="0"/>
          <w:numId w:val="1"/>
        </w:numPr>
        <w:tabs>
          <w:tab w:val="clear" w:pos="709"/>
          <w:tab w:val="left" w:pos="1004" w:leader="none"/>
          <w:tab w:val="decimal" w:pos="10926" w:leader="dot"/>
        </w:tabs>
        <w:spacing w:lineRule="auto" w:line="276" w:before="0" w:after="0"/>
        <w:ind w:hanging="720" w:start="720"/>
        <w:contextualSpacing/>
        <w:jc w:val="both"/>
        <w:rPr>
          <w:rFonts w:eastAsia="Times New Roman" w:cs="Arial" w:cstheme="minorHAnsi"/>
          <w:b/>
          <w:lang w:eastAsia="pl-PL"/>
        </w:rPr>
      </w:pPr>
      <w:r>
        <w:rPr>
          <w:rFonts w:cs="Calibri" w:ascii="Arial" w:hAnsi="Arial"/>
          <w:sz w:val="22"/>
          <w:szCs w:val="22"/>
        </w:rPr>
        <w:t>Szacowany wolumen oleju opałowego</w:t>
      </w:r>
      <w:r>
        <w:rPr>
          <w:rFonts w:cs="Calibri" w:ascii="Arial" w:hAnsi="Arial"/>
          <w:b/>
          <w:sz w:val="22"/>
          <w:szCs w:val="22"/>
        </w:rPr>
        <w:t xml:space="preserve"> </w:t>
      </w:r>
      <w:r>
        <w:rPr>
          <w:rFonts w:cs="Calibri" w:ascii="Arial" w:hAnsi="Arial"/>
          <w:sz w:val="22"/>
          <w:szCs w:val="22"/>
        </w:rPr>
        <w:t>wynos</w:t>
      </w:r>
      <w:r>
        <w:rPr>
          <w:rFonts w:cs="Calibri" w:ascii="Arial" w:hAnsi="Arial"/>
          <w:color w:val="000000"/>
          <w:sz w:val="22"/>
          <w:szCs w:val="22"/>
        </w:rPr>
        <w:t>i do 45</w:t>
      </w:r>
      <w:r>
        <w:rPr>
          <w:rFonts w:cs="Calibri" w:ascii="Arial" w:hAnsi="Arial"/>
          <w:b/>
          <w:bCs/>
          <w:color w:val="000000"/>
          <w:sz w:val="22"/>
          <w:szCs w:val="22"/>
        </w:rPr>
        <w:t> 000,00 litrów</w:t>
      </w:r>
      <w:r>
        <w:rPr>
          <w:rFonts w:cs="Calibri" w:ascii="Arial" w:hAnsi="Arial"/>
          <w:color w:val="000000"/>
          <w:sz w:val="22"/>
          <w:szCs w:val="22"/>
          <w:lang w:eastAsia="ar-SA"/>
        </w:rPr>
        <w:t>.</w:t>
      </w:r>
      <w:r>
        <w:rPr>
          <w:rFonts w:cs="Calibri" w:ascii="Arial" w:hAnsi="Arial"/>
          <w:color w:val="FF0000"/>
          <w:sz w:val="22"/>
          <w:szCs w:val="22"/>
          <w:lang w:eastAsia="ar-SA"/>
        </w:rPr>
        <w:t xml:space="preserve"> </w:t>
      </w:r>
    </w:p>
    <w:p>
      <w:pPr>
        <w:pStyle w:val="ListParagraph"/>
        <w:numPr>
          <w:ilvl w:val="0"/>
          <w:numId w:val="1"/>
        </w:numPr>
        <w:tabs>
          <w:tab w:val="clear" w:pos="709"/>
          <w:tab w:val="left" w:pos="568" w:leader="none"/>
        </w:tabs>
        <w:spacing w:lineRule="auto" w:line="276" w:before="0" w:after="0"/>
        <w:ind w:hanging="284" w:start="284"/>
        <w:contextualSpacing/>
        <w:jc w:val="both"/>
        <w:rPr>
          <w:rFonts w:ascii="Arial" w:hAnsi="Arial"/>
          <w:sz w:val="22"/>
          <w:szCs w:val="22"/>
        </w:rPr>
      </w:pPr>
      <w:r>
        <w:rPr>
          <w:rFonts w:ascii="Arial" w:hAnsi="Arial"/>
          <w:b/>
          <w:bCs/>
          <w:sz w:val="22"/>
          <w:szCs w:val="22"/>
        </w:rPr>
        <w:t>Dostawy oleju opałowego lekkiego będą realizowane sukcesywnie, zgodnie z bieżącymi potrzebami Zamawiającego</w:t>
      </w:r>
      <w:r>
        <w:rPr>
          <w:rFonts w:ascii="Arial" w:hAnsi="Arial"/>
          <w:sz w:val="22"/>
          <w:szCs w:val="22"/>
        </w:rPr>
        <w:t xml:space="preserve">. </w:t>
      </w:r>
      <w:r>
        <w:rPr>
          <w:rFonts w:eastAsia="Times New Roman" w:cs="Arial" w:ascii="Arial" w:hAnsi="Arial" w:cstheme="minorHAnsi"/>
          <w:sz w:val="22"/>
          <w:szCs w:val="22"/>
          <w:lang w:eastAsia="pl-PL"/>
        </w:rPr>
        <w:t xml:space="preserve">Zamawiający będzie każdorazowo określał ilość oleju opałowego w formie odrębnego zlecenia przekazanego w formie elektronicznej, na podstawie ceny przyjętej w ofercie. </w:t>
      </w:r>
    </w:p>
    <w:p>
      <w:pPr>
        <w:pStyle w:val="ListParagraph"/>
        <w:numPr>
          <w:ilvl w:val="0"/>
          <w:numId w:val="1"/>
        </w:numPr>
        <w:tabs>
          <w:tab w:val="clear" w:pos="709"/>
          <w:tab w:val="left" w:pos="568" w:leader="none"/>
        </w:tabs>
        <w:spacing w:lineRule="auto" w:line="276" w:before="0" w:after="0"/>
        <w:ind w:hanging="284" w:start="284"/>
        <w:contextualSpacing/>
        <w:jc w:val="both"/>
        <w:rPr>
          <w:rFonts w:cs="Arial" w:cstheme="minorHAnsi"/>
        </w:rPr>
      </w:pPr>
      <w:r>
        <w:rPr>
          <w:rFonts w:cs="Arial" w:ascii="Arial" w:hAnsi="Arial" w:cstheme="minorHAnsi"/>
          <w:color w:val="000000"/>
          <w:sz w:val="22"/>
          <w:szCs w:val="22"/>
        </w:rPr>
        <w:t xml:space="preserve">Miernikiem dostarczonego oleju opałowego będą wskazania zalegalizowanego licznika paliwa zainstalowanego na autocysternie dowożącej olej w obecności upoważnionego przez Zamawiającego pracownika. </w:t>
      </w:r>
    </w:p>
    <w:p>
      <w:pPr>
        <w:pStyle w:val="ListParagraph"/>
        <w:numPr>
          <w:ilvl w:val="0"/>
          <w:numId w:val="1"/>
        </w:numPr>
        <w:tabs>
          <w:tab w:val="clear" w:pos="709"/>
          <w:tab w:val="left" w:pos="568" w:leader="none"/>
        </w:tabs>
        <w:spacing w:lineRule="auto" w:line="276" w:before="0" w:after="0"/>
        <w:ind w:hanging="284" w:start="284"/>
        <w:contextualSpacing/>
        <w:jc w:val="both"/>
        <w:rPr>
          <w:rFonts w:cs="Arial" w:cstheme="minorHAnsi"/>
        </w:rPr>
      </w:pPr>
      <w:r>
        <w:rPr>
          <w:rFonts w:cs="Arial" w:ascii="Arial" w:hAnsi="Arial" w:cstheme="minorHAnsi"/>
          <w:color w:val="000000"/>
          <w:sz w:val="22"/>
          <w:szCs w:val="22"/>
        </w:rPr>
        <w:t>Zakres zamówienia obejmuje sprzedaż oleju opałowego Zamawiającemu, załadunek, transport oleju na miejsce przeznaczenia, rozładunek oleju.</w:t>
      </w:r>
    </w:p>
    <w:p>
      <w:pPr>
        <w:pStyle w:val="ListParagraph"/>
        <w:numPr>
          <w:ilvl w:val="0"/>
          <w:numId w:val="1"/>
        </w:numPr>
        <w:tabs>
          <w:tab w:val="clear" w:pos="709"/>
          <w:tab w:val="left" w:pos="568" w:leader="none"/>
        </w:tabs>
        <w:spacing w:lineRule="auto" w:line="276" w:before="0" w:after="0"/>
        <w:ind w:hanging="284" w:start="284"/>
        <w:contextualSpacing/>
        <w:jc w:val="both"/>
        <w:rPr>
          <w:rFonts w:cs="Arial" w:cstheme="minorHAnsi"/>
        </w:rPr>
      </w:pPr>
      <w:r>
        <w:rPr>
          <w:rFonts w:cs="Arial" w:ascii="Arial" w:hAnsi="Arial" w:cstheme="minorHAnsi"/>
          <w:color w:val="000000"/>
          <w:sz w:val="22"/>
          <w:szCs w:val="22"/>
        </w:rPr>
        <w:t>Realizacja zamówienia odbywać się będzie transportem własnym Wykonawcy na miejsce wskazane przez Zamawiającego.</w:t>
      </w:r>
    </w:p>
    <w:p>
      <w:pPr>
        <w:pStyle w:val="ListParagraph"/>
        <w:numPr>
          <w:ilvl w:val="0"/>
          <w:numId w:val="1"/>
        </w:numPr>
        <w:tabs>
          <w:tab w:val="clear" w:pos="709"/>
          <w:tab w:val="left" w:pos="568" w:leader="none"/>
        </w:tabs>
        <w:spacing w:lineRule="auto" w:line="276" w:before="0" w:after="0"/>
        <w:ind w:hanging="284" w:start="284"/>
        <w:contextualSpacing/>
        <w:jc w:val="both"/>
        <w:rPr>
          <w:rFonts w:cs="Arial" w:cstheme="minorHAnsi"/>
        </w:rPr>
      </w:pPr>
      <w:r>
        <w:rPr>
          <w:rFonts w:cs="Arial" w:ascii="Arial" w:hAnsi="Arial" w:cstheme="minorHAnsi"/>
          <w:color w:val="000000"/>
          <w:sz w:val="22"/>
          <w:szCs w:val="22"/>
        </w:rPr>
        <w:t>Zamawiający zastrzega sobie prawo do sprawdzenia ilości przywiezionego oleju, jak również do dokonania badania jakości przywiezionego oleju.</w:t>
      </w:r>
    </w:p>
    <w:p>
      <w:pPr>
        <w:pStyle w:val="ListParagraph"/>
        <w:numPr>
          <w:ilvl w:val="0"/>
          <w:numId w:val="1"/>
        </w:numPr>
        <w:tabs>
          <w:tab w:val="clear" w:pos="709"/>
          <w:tab w:val="left" w:pos="568" w:leader="none"/>
        </w:tabs>
        <w:spacing w:lineRule="auto" w:line="276" w:before="0" w:after="0"/>
        <w:ind w:hanging="284" w:start="284"/>
        <w:contextualSpacing/>
        <w:jc w:val="both"/>
        <w:rPr>
          <w:b/>
          <w:bCs/>
        </w:rPr>
      </w:pPr>
      <w:r>
        <w:rPr>
          <w:rFonts w:ascii="Arial" w:hAnsi="Arial"/>
          <w:b/>
          <w:bCs/>
          <w:sz w:val="22"/>
          <w:szCs w:val="22"/>
        </w:rPr>
        <w:t>Wykonawca realizować będzie dostawy w czasie nie dłuższym niż podane w kryterium dostawy  godziny od złożenia przez zamawiającego zlecenia w formie elektronicznej.</w:t>
      </w:r>
    </w:p>
    <w:p>
      <w:pPr>
        <w:pStyle w:val="ListParagraph"/>
        <w:numPr>
          <w:ilvl w:val="0"/>
          <w:numId w:val="1"/>
        </w:numPr>
        <w:tabs>
          <w:tab w:val="clear" w:pos="709"/>
          <w:tab w:val="left" w:pos="568" w:leader="none"/>
        </w:tabs>
        <w:spacing w:lineRule="auto" w:line="276" w:before="0" w:after="0"/>
        <w:ind w:hanging="284" w:start="284"/>
        <w:contextualSpacing/>
        <w:jc w:val="both"/>
        <w:rPr>
          <w:b/>
          <w:bCs/>
        </w:rPr>
      </w:pPr>
      <w:r>
        <w:rPr>
          <w:rFonts w:ascii="Arial" w:hAnsi="Arial"/>
          <w:b/>
          <w:bCs/>
          <w:sz w:val="22"/>
          <w:szCs w:val="22"/>
        </w:rPr>
        <w:t>Zgodnie ze wskazanym kryterium w formularzu ofertowym.</w:t>
      </w:r>
    </w:p>
    <w:p>
      <w:pPr>
        <w:pStyle w:val="ListParagraph"/>
        <w:numPr>
          <w:ilvl w:val="0"/>
          <w:numId w:val="1"/>
        </w:numPr>
        <w:tabs>
          <w:tab w:val="clear" w:pos="709"/>
          <w:tab w:val="left" w:pos="568" w:leader="none"/>
        </w:tabs>
        <w:spacing w:lineRule="auto" w:line="276" w:before="0" w:after="0"/>
        <w:ind w:hanging="284" w:start="284"/>
        <w:contextualSpacing/>
        <w:jc w:val="both"/>
        <w:rPr>
          <w:rFonts w:ascii="Arial" w:hAnsi="Arial"/>
          <w:sz w:val="22"/>
          <w:szCs w:val="22"/>
        </w:rPr>
      </w:pPr>
      <w:r>
        <w:rPr>
          <w:rFonts w:ascii="Arial" w:hAnsi="Arial"/>
          <w:sz w:val="22"/>
          <w:szCs w:val="22"/>
        </w:rPr>
        <w:t>Wykonawca zobowiązany jest dołączyć świadectwo jakości oleju opałowego przy każdej dostawie.</w:t>
      </w:r>
    </w:p>
    <w:p>
      <w:pPr>
        <w:pStyle w:val="ListParagraph"/>
        <w:numPr>
          <w:ilvl w:val="0"/>
          <w:numId w:val="1"/>
        </w:numPr>
        <w:tabs>
          <w:tab w:val="clear" w:pos="709"/>
          <w:tab w:val="left" w:pos="568" w:leader="none"/>
        </w:tabs>
        <w:spacing w:lineRule="auto" w:line="276" w:before="0" w:after="0"/>
        <w:ind w:hanging="284" w:start="284"/>
        <w:contextualSpacing/>
        <w:jc w:val="both"/>
        <w:rPr>
          <w:rFonts w:ascii="Arial" w:hAnsi="Arial"/>
          <w:sz w:val="22"/>
          <w:szCs w:val="22"/>
        </w:rPr>
      </w:pPr>
      <w:r>
        <w:rPr>
          <w:rFonts w:cs="Calibri" w:ascii="Arial" w:hAnsi="Arial"/>
          <w:sz w:val="22"/>
          <w:szCs w:val="22"/>
          <w:lang w:eastAsia="ar-SA"/>
        </w:rPr>
        <w:t xml:space="preserve">Podana ilość oleju opałowego jest wartością szacowaną na podstawie dotychczasowego zużycia. Wykonawcy nie będzie przysługiwało jakiekolwiek roszczenie z tytułu niepobrania przez Zamawiającego przewidywanej ilości oleju. </w:t>
      </w:r>
      <w:r>
        <w:rPr>
          <w:rFonts w:eastAsia="Times New Roman" w:cs="Arial" w:ascii="Arial" w:hAnsi="Arial" w:cstheme="minorHAnsi"/>
          <w:bCs/>
          <w:sz w:val="22"/>
          <w:szCs w:val="22"/>
          <w:lang w:eastAsia="pl-PL"/>
        </w:rPr>
        <w:t xml:space="preserve">Zamawiający w okresie obowiązywania umowy może zmniejszyć zakres i wielkość przedmiotu umowy do 20% pierwotnej wielkości przedmiotu umowy w ramach opcji. </w:t>
      </w:r>
    </w:p>
    <w:p>
      <w:pPr>
        <w:pStyle w:val="Normal"/>
        <w:numPr>
          <w:ilvl w:val="0"/>
          <w:numId w:val="1"/>
        </w:numPr>
        <w:tabs>
          <w:tab w:val="clear" w:pos="709"/>
          <w:tab w:val="left" w:pos="284" w:leader="none"/>
        </w:tabs>
        <w:spacing w:lineRule="auto" w:line="276" w:before="0" w:after="0"/>
        <w:ind w:hanging="284" w:start="284"/>
        <w:jc w:val="both"/>
        <w:rPr>
          <w:rFonts w:eastAsia="Times New Roman" w:cs="Arial" w:cstheme="minorHAnsi"/>
          <w:bCs/>
          <w:lang w:eastAsia="pl-PL"/>
        </w:rPr>
      </w:pPr>
      <w:r>
        <w:rPr>
          <w:rFonts w:eastAsia="Times New Roman" w:cs="Arial" w:ascii="Arial" w:hAnsi="Arial" w:cstheme="minorHAnsi"/>
          <w:bCs/>
          <w:sz w:val="22"/>
          <w:szCs w:val="22"/>
          <w:lang w:eastAsia="pl-PL"/>
        </w:rPr>
        <w:t>Zamawiający w okresie obowiązywania umowy może zwiększyć zakres i wielkość przedmiotu umowy do 10% pierwotnej wielkości przedmiotu umowy w ramach opcji. Zwiększenie wielkości umowy może nastąpić w przypadku koniecznego dalszego zapewnienia dostawy oleju opałowego dla Zamawiającego o zamiarze skorzystania z prawa opcji Zamawiający powiadomi Wykonawcę w formie pisemnego oświadczenia</w:t>
      </w:r>
    </w:p>
    <w:p>
      <w:pPr>
        <w:pStyle w:val="ListParagraph"/>
        <w:numPr>
          <w:ilvl w:val="0"/>
          <w:numId w:val="1"/>
        </w:numPr>
        <w:tabs>
          <w:tab w:val="clear" w:pos="709"/>
          <w:tab w:val="left" w:pos="568" w:leader="none"/>
        </w:tabs>
        <w:spacing w:lineRule="auto" w:line="276" w:before="0" w:after="0"/>
        <w:ind w:hanging="284" w:start="284"/>
        <w:contextualSpacing/>
        <w:jc w:val="both"/>
        <w:rPr>
          <w:rFonts w:ascii="Arial" w:hAnsi="Arial" w:cs="Arial"/>
          <w:sz w:val="22"/>
          <w:szCs w:val="22"/>
        </w:rPr>
      </w:pPr>
      <w:r>
        <w:rPr>
          <w:rFonts w:eastAsia="Times New Roman" w:cs="Arial" w:ascii="Arial" w:hAnsi="Arial" w:cstheme="minorHAnsi"/>
          <w:sz w:val="22"/>
          <w:szCs w:val="22"/>
          <w:lang w:eastAsia="pl-PL"/>
        </w:rPr>
        <w:t>Zamawiający zastrzega możliwość odstąpienia od umowy w terminie 30 dni od powzięcia wiadomości o  okolicznościach  powodujących, że wykonanie umowy nie leży w interesie</w:t>
      </w:r>
    </w:p>
    <w:p>
      <w:pPr>
        <w:pStyle w:val="Normal"/>
        <w:numPr>
          <w:ilvl w:val="0"/>
          <w:numId w:val="0"/>
        </w:numPr>
        <w:tabs>
          <w:tab w:val="clear" w:pos="709"/>
          <w:tab w:val="left" w:pos="1004" w:leader="none"/>
        </w:tabs>
        <w:bidi w:val="0"/>
        <w:spacing w:lineRule="auto" w:line="276" w:before="0" w:after="0"/>
        <w:ind w:hanging="0" w:start="720"/>
        <w:contextualSpacing/>
        <w:jc w:val="both"/>
        <w:rPr/>
      </w:pPr>
      <w:r>
        <w:rPr>
          <w:rFonts w:eastAsia="Times New Roman" w:cs="Arial" w:cstheme="minorHAnsi"/>
          <w:lang w:eastAsia="pl-PL"/>
        </w:rPr>
        <w:t>publicznym, czego nie można było przewidzieć w chwili zawarcia umowy – na zasadach określonych w art. 456 ustawy Pzp.</w:t>
      </w:r>
    </w:p>
    <w:p>
      <w:pPr>
        <w:pStyle w:val="ListParagraph"/>
        <w:spacing w:lineRule="auto" w:line="276" w:before="0" w:after="0"/>
        <w:ind w:hanging="0" w:start="360"/>
        <w:contextualSpacing/>
        <w:jc w:val="both"/>
        <w:rPr>
          <w:rFonts w:cs="Arial" w:cstheme="minorHAnsi"/>
        </w:rPr>
      </w:pPr>
      <w:r>
        <w:rPr>
          <w:rFonts w:cs="Arial" w:cstheme="minorHAnsi"/>
        </w:rPr>
      </w:r>
    </w:p>
    <w:p>
      <w:pPr>
        <w:pStyle w:val="ListParagraph"/>
        <w:numPr>
          <w:ilvl w:val="0"/>
          <w:numId w:val="1"/>
        </w:numPr>
        <w:tabs>
          <w:tab w:val="clear" w:pos="709"/>
          <w:tab w:val="left" w:pos="1004" w:leader="none"/>
        </w:tabs>
        <w:spacing w:lineRule="auto" w:line="276" w:before="0" w:after="0"/>
        <w:ind w:hanging="720" w:start="720"/>
        <w:contextualSpacing/>
        <w:jc w:val="both"/>
        <w:rPr>
          <w:rFonts w:cs="Arial" w:cstheme="minorHAnsi"/>
        </w:rPr>
      </w:pPr>
      <w:r>
        <w:rPr>
          <w:rFonts w:cs="Arial" w:cstheme="minorHAnsi"/>
          <w:b/>
          <w:bCs/>
        </w:rPr>
        <w:t>Nazwy i kody zamówienia według Wspólnego Słownika Zamówień (CPV):</w:t>
      </w:r>
    </w:p>
    <w:p>
      <w:pPr>
        <w:pStyle w:val="ListParagraph"/>
        <w:tabs>
          <w:tab w:val="clear" w:pos="709"/>
          <w:tab w:val="decimal" w:pos="9356" w:leader="dot"/>
        </w:tabs>
        <w:spacing w:lineRule="auto" w:line="240" w:before="0" w:after="0"/>
        <w:ind w:hanging="0" w:start="284"/>
        <w:contextualSpacing/>
        <w:jc w:val="both"/>
        <w:rPr>
          <w:rFonts w:ascii="Tahoma" w:hAnsi="Tahoma" w:eastAsia="Times New Roman" w:cs="Tahoma"/>
          <w:sz w:val="20"/>
          <w:szCs w:val="20"/>
          <w:lang w:eastAsia="pl-PL"/>
        </w:rPr>
      </w:pPr>
      <w:r>
        <w:rPr>
          <w:rFonts w:eastAsia="Times New Roman" w:cs="Tahoma" w:ascii="Tahoma" w:hAnsi="Tahoma"/>
          <w:sz w:val="20"/>
          <w:szCs w:val="20"/>
          <w:lang w:eastAsia="pl-PL"/>
        </w:rPr>
        <w:t>09135100 – 5 – olej opałowy;</w:t>
      </w:r>
    </w:p>
    <w:p>
      <w:pPr>
        <w:pStyle w:val="Normal"/>
        <w:tabs>
          <w:tab w:val="clear" w:pos="709"/>
          <w:tab w:val="decimal" w:pos="9072" w:leader="dot"/>
        </w:tabs>
        <w:bidi w:val="0"/>
        <w:spacing w:lineRule="auto" w:line="240" w:before="0" w:after="0"/>
        <w:jc w:val="both"/>
        <w:rPr>
          <w:rFonts w:cs="Arial" w:cstheme="minorHAnsi"/>
        </w:rPr>
      </w:pPr>
      <w:r>
        <w:rPr>
          <w:rFonts w:cs="Arial" w:cstheme="minorHAnsi"/>
        </w:rPr>
      </w:r>
    </w:p>
    <w:p>
      <w:pPr>
        <w:pStyle w:val="ListParagraph"/>
        <w:numPr>
          <w:ilvl w:val="0"/>
          <w:numId w:val="1"/>
        </w:numPr>
        <w:tabs>
          <w:tab w:val="clear" w:pos="709"/>
          <w:tab w:val="left" w:pos="568" w:leader="none"/>
          <w:tab w:val="decimal" w:pos="9356" w:leader="dot"/>
        </w:tabs>
        <w:spacing w:lineRule="auto" w:line="240" w:before="0" w:after="0"/>
        <w:ind w:hanging="284" w:start="284"/>
        <w:contextualSpacing/>
        <w:jc w:val="both"/>
        <w:rPr>
          <w:rFonts w:ascii="Times New Roman" w:hAnsi="Times New Roman"/>
        </w:rPr>
      </w:pPr>
      <w:r>
        <w:rPr>
          <w:rFonts w:cs="Arial" w:ascii="Times New Roman" w:hAnsi="Times New Roman" w:cstheme="minorHAnsi"/>
          <w:sz w:val="22"/>
          <w:szCs w:val="22"/>
        </w:rPr>
        <w:t xml:space="preserve">Zamawiający nie przewiduje obowiązku odbycia przez Wykonawcę wizji lokalnej oraz sprawdzenia przez Wykonawcę dokumentów niezbędnych do realizacji zamówienia dostępnych na miejscu u Zamawiającego. </w:t>
      </w:r>
    </w:p>
    <w:p>
      <w:pPr>
        <w:pStyle w:val="ListParagraph"/>
        <w:numPr>
          <w:ilvl w:val="0"/>
          <w:numId w:val="1"/>
        </w:numPr>
        <w:spacing w:lineRule="auto" w:line="276"/>
        <w:ind w:hanging="284" w:start="284"/>
        <w:jc w:val="both"/>
        <w:rPr>
          <w:rFonts w:ascii="Times New Roman" w:hAnsi="Times New Roman"/>
        </w:rPr>
      </w:pPr>
      <w:r>
        <w:rPr>
          <w:rFonts w:cs="Arial" w:ascii="Times New Roman" w:hAnsi="Times New Roman" w:cstheme="minorHAnsi"/>
          <w:sz w:val="22"/>
          <w:szCs w:val="22"/>
        </w:rPr>
        <w:t>Wykonawca gwarantuje, iż dostarczany Odbiorcy olej opałowy spełnia wymagania jakościowe</w:t>
        <w:br/>
        <w:t>określone Polską Normą w zakresie oleju opałowego lekkiego gatunek L-1 oraz wymagania wskazane w rozporządzeniu Ministra Energii z dnia 01 grudnia 2016 r. w sprawie wymagań jakościowych dot. zawartości siarki dla olejów oraz rodzajów instalacji i warunków, w których będą stosowane ciężkie oleje opałowe (Dz. U. z 2016 poz. 2008) oraz odpowiada określonym w Rozporządzeniu Ministra Finansów z dnia 28 listopada 2022r. w sprawie znakowania i barwienia wyrobów energetycznych (DZ. U. z 2022 r.  poz.2633 ).</w:t>
      </w:r>
    </w:p>
    <w:p>
      <w:pPr>
        <w:pStyle w:val="Standard"/>
        <w:spacing w:lineRule="auto" w:line="276"/>
        <w:jc w:val="center"/>
        <w:rPr>
          <w:rFonts w:ascii="Arial" w:hAnsi="Arial" w:cs="Arial"/>
          <w:sz w:val="22"/>
          <w:szCs w:val="22"/>
        </w:rPr>
      </w:pPr>
      <w:r>
        <w:rPr>
          <w:rFonts w:cs="Arial" w:ascii="Arial" w:hAnsi="Arial"/>
          <w:sz w:val="22"/>
          <w:szCs w:val="22"/>
        </w:rPr>
      </w:r>
    </w:p>
    <w:p>
      <w:pPr>
        <w:pStyle w:val="Standard"/>
        <w:pBdr>
          <w:top w:val="single" w:sz="4" w:space="1" w:color="000000"/>
          <w:left w:val="single" w:sz="4" w:space="4" w:color="000000"/>
          <w:bottom w:val="single" w:sz="4" w:space="1" w:color="000000"/>
          <w:right w:val="single" w:sz="4" w:space="4" w:color="000000"/>
        </w:pBdr>
        <w:shd w:val="clear" w:color="auto" w:fill="D9D9D9"/>
        <w:spacing w:lineRule="auto" w:line="276"/>
        <w:ind w:hanging="255" w:start="255"/>
        <w:rPr>
          <w:rFonts w:ascii="Arial" w:hAnsi="Arial" w:cs="Arial"/>
          <w:sz w:val="22"/>
          <w:szCs w:val="22"/>
        </w:rPr>
      </w:pPr>
      <w:r>
        <w:rPr>
          <w:rFonts w:cs="Arial" w:ascii="Arial" w:hAnsi="Arial"/>
          <w:b/>
          <w:bCs/>
          <w:sz w:val="22"/>
          <w:szCs w:val="22"/>
        </w:rPr>
        <w:t xml:space="preserve">ROZDZIAŁ V - </w:t>
      </w:r>
      <w:r>
        <w:rPr>
          <w:rFonts w:cs="Arial" w:ascii="Arial" w:hAnsi="Arial"/>
          <w:sz w:val="22"/>
          <w:szCs w:val="22"/>
        </w:rPr>
        <w:t>TERMIN WYKONANIA ZAMÓWIENIA</w:t>
      </w:r>
    </w:p>
    <w:p>
      <w:pPr>
        <w:pStyle w:val="Normal"/>
        <w:bidi w:val="0"/>
        <w:spacing w:lineRule="auto" w:line="276" w:before="0" w:after="181"/>
        <w:ind w:hanging="0" w:start="-5"/>
        <w:jc w:val="start"/>
        <w:rPr>
          <w:rFonts w:ascii="Arial" w:hAnsi="Arial" w:cs="Arial"/>
          <w:sz w:val="22"/>
          <w:szCs w:val="22"/>
        </w:rPr>
      </w:pPr>
      <w:r>
        <w:rPr>
          <w:rFonts w:cs="Arial" w:ascii="Arial" w:hAnsi="Arial"/>
          <w:sz w:val="22"/>
          <w:szCs w:val="22"/>
        </w:rPr>
        <w:t xml:space="preserve">Termin wykonania zamówienia: </w:t>
      </w:r>
      <w:r>
        <w:rPr>
          <w:rFonts w:cs="Arial" w:ascii="Arial" w:hAnsi="Arial"/>
          <w:b/>
          <w:sz w:val="22"/>
          <w:szCs w:val="22"/>
        </w:rPr>
        <w:t>od dnia 03.202</w:t>
      </w:r>
      <w:r>
        <w:rPr>
          <w:rFonts w:cs="Arial" w:ascii="Arial" w:hAnsi="Arial"/>
          <w:b/>
          <w:sz w:val="22"/>
          <w:szCs w:val="22"/>
        </w:rPr>
        <w:t>6</w:t>
      </w:r>
      <w:r>
        <w:rPr>
          <w:rFonts w:cs="Arial" w:ascii="Arial" w:hAnsi="Arial"/>
          <w:b/>
          <w:sz w:val="22"/>
          <w:szCs w:val="22"/>
        </w:rPr>
        <w:t xml:space="preserve"> r. </w:t>
      </w:r>
      <w:r>
        <w:rPr>
          <w:rFonts w:cs="Arial" w:ascii="Arial" w:hAnsi="Arial"/>
          <w:b/>
          <w:color w:val="000000"/>
          <w:kern w:val="0"/>
          <w:sz w:val="22"/>
          <w:szCs w:val="22"/>
        </w:rPr>
        <w:t>do dnia 31.12.2026 r.</w:t>
      </w:r>
    </w:p>
    <w:p>
      <w:pPr>
        <w:pStyle w:val="Textbody"/>
        <w:pBdr>
          <w:top w:val="single" w:sz="4" w:space="1" w:color="000000"/>
          <w:left w:val="single" w:sz="4" w:space="4" w:color="000000"/>
          <w:bottom w:val="single" w:sz="4" w:space="1" w:color="000000"/>
          <w:right w:val="single" w:sz="4" w:space="4" w:color="000000"/>
        </w:pBdr>
        <w:shd w:val="clear" w:color="auto" w:fill="D9D9D9"/>
        <w:tabs>
          <w:tab w:val="clear" w:pos="709"/>
          <w:tab w:val="left" w:pos="284" w:leader="none"/>
        </w:tabs>
        <w:spacing w:lineRule="auto" w:line="276"/>
        <w:ind w:hanging="0" w:end="-1"/>
        <w:rPr>
          <w:rFonts w:ascii="Arial" w:hAnsi="Arial" w:cs="Arial"/>
          <w:sz w:val="22"/>
          <w:szCs w:val="22"/>
        </w:rPr>
      </w:pPr>
      <w:r>
        <w:rPr>
          <w:rFonts w:cs="Arial" w:ascii="Arial" w:hAnsi="Arial"/>
          <w:b/>
          <w:bCs/>
          <w:sz w:val="22"/>
          <w:szCs w:val="22"/>
        </w:rPr>
        <w:t xml:space="preserve">ROZDZIAŁ VI  - </w:t>
      </w:r>
      <w:r>
        <w:rPr>
          <w:rFonts w:cs="Arial" w:ascii="Arial" w:hAnsi="Arial"/>
          <w:sz w:val="22"/>
          <w:szCs w:val="22"/>
        </w:rPr>
        <w:t>WARUNKI UDZIAŁU W POSTĘPOWANIU</w:t>
      </w:r>
    </w:p>
    <w:p>
      <w:pPr>
        <w:pStyle w:val="ListParagraph"/>
        <w:widowControl w:val="false"/>
        <w:shd w:val="clear" w:color="auto" w:fill="FFFFFF"/>
        <w:tabs>
          <w:tab w:val="clear" w:pos="709"/>
          <w:tab w:val="left" w:pos="164" w:leader="none"/>
          <w:tab w:val="left" w:pos="851" w:leader="none"/>
        </w:tabs>
        <w:spacing w:before="60" w:after="60"/>
        <w:ind w:hanging="0" w:start="720"/>
        <w:jc w:val="both"/>
        <w:rPr>
          <w:rFonts w:ascii="Arial" w:hAnsi="Arial" w:cs="Arial"/>
        </w:rPr>
      </w:pPr>
      <w:r>
        <w:rPr>
          <w:rFonts w:cs="Arial" w:ascii="Arial" w:hAnsi="Arial"/>
        </w:rPr>
      </w:r>
    </w:p>
    <w:p>
      <w:pPr>
        <w:pStyle w:val="ListParagraph"/>
        <w:widowControl w:val="false"/>
        <w:numPr>
          <w:ilvl w:val="0"/>
          <w:numId w:val="3"/>
        </w:numPr>
        <w:shd w:val="clear" w:color="auto" w:fill="FFFFFF"/>
        <w:tabs>
          <w:tab w:val="clear" w:pos="709"/>
          <w:tab w:val="left" w:pos="448" w:leader="none"/>
          <w:tab w:val="left" w:pos="1135" w:leader="none"/>
        </w:tabs>
        <w:spacing w:before="60" w:after="60"/>
        <w:ind w:hanging="284" w:start="284"/>
        <w:jc w:val="both"/>
        <w:rPr>
          <w:rFonts w:ascii="Arial" w:hAnsi="Arial" w:cs="Arial"/>
          <w:b/>
          <w:u w:val="single"/>
        </w:rPr>
      </w:pPr>
      <w:r>
        <w:rPr>
          <w:rFonts w:eastAsia="Times New Roman" w:cs="Arial" w:ascii="Arial" w:hAnsi="Arial"/>
          <w:b/>
          <w:u w:val="single"/>
          <w:lang w:eastAsia="pl-PL"/>
        </w:rPr>
        <w:t>O udzielenie zamówienia mogą ubiegać się Wykonawcy, którzy spełniają warunki udziału w postępowaniu zgodnie z art. 112 ust. 2  ustawy PZP dotyczące:</w:t>
      </w:r>
    </w:p>
    <w:p>
      <w:pPr>
        <w:pStyle w:val="Textbody"/>
        <w:numPr>
          <w:ilvl w:val="0"/>
          <w:numId w:val="62"/>
        </w:numPr>
        <w:spacing w:lineRule="auto" w:line="276"/>
        <w:ind w:hanging="360" w:start="644" w:end="-1"/>
        <w:jc w:val="both"/>
        <w:rPr>
          <w:rFonts w:ascii="Arial" w:hAnsi="Arial" w:cs="Arial"/>
          <w:b/>
          <w:bCs/>
          <w:sz w:val="22"/>
          <w:szCs w:val="22"/>
        </w:rPr>
      </w:pPr>
      <w:r>
        <w:rPr>
          <w:rFonts w:cs="Arial" w:ascii="Arial" w:hAnsi="Arial"/>
          <w:b/>
          <w:bCs/>
          <w:sz w:val="22"/>
          <w:szCs w:val="22"/>
        </w:rPr>
        <w:t>zdolności do występowania w obrocie gospodarczym:</w:t>
      </w:r>
    </w:p>
    <w:p>
      <w:pPr>
        <w:pStyle w:val="Textbody"/>
        <w:spacing w:lineRule="auto" w:line="276"/>
        <w:ind w:hanging="0" w:start="644" w:end="-1"/>
        <w:jc w:val="both"/>
        <w:rPr>
          <w:rFonts w:ascii="Arial" w:hAnsi="Arial" w:cs="Arial"/>
          <w:sz w:val="22"/>
          <w:szCs w:val="22"/>
        </w:rPr>
      </w:pPr>
      <w:r>
        <w:rPr>
          <w:rFonts w:cs="Arial" w:ascii="Arial" w:hAnsi="Arial"/>
          <w:sz w:val="22"/>
          <w:szCs w:val="22"/>
        </w:rPr>
        <w:t>Zamawiający nie precyzuje warunków w tym zakresie.</w:t>
      </w:r>
    </w:p>
    <w:p>
      <w:pPr>
        <w:pStyle w:val="Textbody"/>
        <w:spacing w:lineRule="auto" w:line="276"/>
        <w:ind w:hanging="0" w:start="644" w:end="-1"/>
        <w:jc w:val="both"/>
        <w:rPr>
          <w:rFonts w:ascii="Arial" w:hAnsi="Arial" w:cs="Arial"/>
          <w:b/>
          <w:bCs/>
          <w:color w:val="0070C0"/>
          <w:sz w:val="22"/>
          <w:szCs w:val="22"/>
        </w:rPr>
      </w:pPr>
      <w:r>
        <w:rPr>
          <w:rFonts w:cs="Arial" w:ascii="Arial" w:hAnsi="Arial"/>
          <w:b/>
          <w:bCs/>
          <w:color w:val="0070C0"/>
          <w:sz w:val="22"/>
          <w:szCs w:val="22"/>
        </w:rPr>
      </w:r>
    </w:p>
    <w:p>
      <w:pPr>
        <w:pStyle w:val="Textbody"/>
        <w:numPr>
          <w:ilvl w:val="0"/>
          <w:numId w:val="63"/>
        </w:numPr>
        <w:spacing w:lineRule="auto" w:line="276" w:before="60" w:after="60"/>
        <w:ind w:hanging="357" w:start="641" w:end="0"/>
        <w:jc w:val="both"/>
        <w:rPr>
          <w:rFonts w:ascii="Arial" w:hAnsi="Arial" w:cs="Arial"/>
          <w:b/>
          <w:bCs/>
          <w:sz w:val="22"/>
          <w:szCs w:val="22"/>
        </w:rPr>
      </w:pPr>
      <w:r>
        <w:rPr>
          <w:rFonts w:cs="Arial" w:ascii="Arial" w:hAnsi="Arial"/>
          <w:b/>
          <w:bCs/>
          <w:sz w:val="22"/>
          <w:szCs w:val="22"/>
        </w:rPr>
        <w:t>uprawnień do prowadzenia określonej działalności gospodarczej lub zawodowej, o ile wynika to z odrębnych przepisów:</w:t>
      </w:r>
    </w:p>
    <w:p>
      <w:pPr>
        <w:pStyle w:val="Textbody"/>
        <w:spacing w:lineRule="auto" w:line="276"/>
        <w:ind w:hanging="0" w:start="644" w:end="-1"/>
        <w:jc w:val="both"/>
        <w:rPr/>
      </w:pPr>
      <w:r>
        <w:rPr>
          <w:rFonts w:cs="Arial" w:ascii="Arial" w:hAnsi="Arial"/>
          <w:sz w:val="22"/>
          <w:szCs w:val="22"/>
          <w:u w:val="single"/>
        </w:rPr>
        <w:t>Zamawiający uzna warunek za spełniony, jeżeli Wykonawca posiada uprawnienia do prowadzenia działalności gospodarczej w zakresie obrotu paliwami ciekłymi, na podstawie aktualnej koncesji na wykonywanie działalności gospodarczej w zakresie obrotu paliwami ciekłymi, wydanej przez Prezesa Urzędu Regulacji Energetyki zgodnie z ustawą z dnia 10 kwietnia 1997 r. Prawo energetyczne.(</w:t>
      </w:r>
      <w:r>
        <w:rPr>
          <w:rFonts w:cs="Arial" w:ascii="Arial" w:hAnsi="Arial"/>
          <w:sz w:val="22"/>
          <w:szCs w:val="22"/>
        </w:rPr>
        <w:t>Dz. U. z 2022 r. poz. 1385, 1723, 2127, 2243, 2370, 2687, z 2023 r. poz. 295.)</w:t>
      </w:r>
    </w:p>
    <w:p>
      <w:pPr>
        <w:pStyle w:val="Textbody"/>
        <w:numPr>
          <w:ilvl w:val="0"/>
          <w:numId w:val="64"/>
        </w:numPr>
        <w:spacing w:lineRule="auto" w:line="276" w:before="60" w:after="60"/>
        <w:ind w:hanging="357" w:start="641" w:end="0"/>
        <w:jc w:val="both"/>
        <w:rPr>
          <w:rFonts w:ascii="Arial" w:hAnsi="Arial" w:cs="Arial"/>
          <w:b/>
          <w:bCs/>
          <w:sz w:val="22"/>
          <w:szCs w:val="22"/>
        </w:rPr>
      </w:pPr>
      <w:r>
        <w:rPr>
          <w:rFonts w:cs="Arial" w:ascii="Arial" w:hAnsi="Arial"/>
          <w:b/>
          <w:bCs/>
          <w:sz w:val="22"/>
          <w:szCs w:val="22"/>
        </w:rPr>
        <w:t>sytuacji ekonomicznej lub finansowej:</w:t>
      </w:r>
    </w:p>
    <w:p>
      <w:pPr>
        <w:pStyle w:val="Textbody"/>
        <w:spacing w:lineRule="auto" w:line="276"/>
        <w:ind w:hanging="0" w:start="644" w:end="-1"/>
        <w:jc w:val="both"/>
        <w:rPr>
          <w:rFonts w:ascii="Arial" w:hAnsi="Arial" w:cs="Arial"/>
          <w:sz w:val="22"/>
          <w:szCs w:val="22"/>
        </w:rPr>
      </w:pPr>
      <w:r>
        <w:rPr>
          <w:rFonts w:cs="Arial" w:ascii="Arial" w:hAnsi="Arial"/>
          <w:sz w:val="22"/>
          <w:szCs w:val="22"/>
        </w:rPr>
        <w:t>Zamawiający nie precyzuje warunków w tym zakresie.</w:t>
      </w:r>
    </w:p>
    <w:p>
      <w:pPr>
        <w:pStyle w:val="Textbody"/>
        <w:spacing w:lineRule="auto" w:line="276"/>
        <w:ind w:hanging="0" w:start="644" w:end="-1"/>
        <w:jc w:val="both"/>
        <w:rPr>
          <w:rFonts w:ascii="Arial" w:hAnsi="Arial" w:cs="Arial"/>
          <w:b/>
          <w:bCs/>
          <w:color w:val="0070C0"/>
          <w:sz w:val="22"/>
          <w:szCs w:val="22"/>
        </w:rPr>
      </w:pPr>
      <w:r>
        <w:rPr>
          <w:rFonts w:cs="Arial" w:ascii="Arial" w:hAnsi="Arial"/>
          <w:b/>
          <w:bCs/>
          <w:color w:val="0070C0"/>
          <w:sz w:val="22"/>
          <w:szCs w:val="22"/>
        </w:rPr>
      </w:r>
    </w:p>
    <w:p>
      <w:pPr>
        <w:pStyle w:val="Textbody"/>
        <w:numPr>
          <w:ilvl w:val="0"/>
          <w:numId w:val="65"/>
        </w:numPr>
        <w:spacing w:lineRule="auto" w:line="276" w:before="60" w:after="60"/>
        <w:ind w:hanging="357" w:start="641" w:end="0"/>
        <w:jc w:val="both"/>
        <w:rPr>
          <w:rFonts w:ascii="Arial" w:hAnsi="Arial" w:cs="Arial"/>
          <w:b/>
          <w:bCs/>
          <w:sz w:val="22"/>
          <w:szCs w:val="22"/>
        </w:rPr>
      </w:pPr>
      <w:r>
        <w:rPr>
          <w:rFonts w:cs="Arial" w:ascii="Arial" w:hAnsi="Arial"/>
          <w:b/>
          <w:bCs/>
          <w:sz w:val="22"/>
          <w:szCs w:val="22"/>
        </w:rPr>
        <w:t>zdolności technicznej lub zawodowej:</w:t>
      </w:r>
    </w:p>
    <w:p>
      <w:pPr>
        <w:pStyle w:val="Textbody"/>
        <w:spacing w:lineRule="auto" w:line="276"/>
        <w:ind w:hanging="0" w:start="644" w:end="-1"/>
        <w:jc w:val="both"/>
        <w:rPr>
          <w:rFonts w:ascii="Arial" w:hAnsi="Arial" w:cs="Arial"/>
          <w:sz w:val="22"/>
          <w:szCs w:val="22"/>
        </w:rPr>
      </w:pPr>
      <w:bookmarkStart w:id="4" w:name="_Hlk65578642"/>
      <w:r>
        <w:rPr>
          <w:rFonts w:cs="Arial" w:ascii="Arial" w:hAnsi="Arial"/>
          <w:sz w:val="22"/>
          <w:szCs w:val="22"/>
        </w:rPr>
        <w:t>Zamawiający nie precyzuje warunków w tym zakresie.</w:t>
      </w:r>
      <w:bookmarkEnd w:id="4"/>
    </w:p>
    <w:p>
      <w:pPr>
        <w:pStyle w:val="Textbody"/>
        <w:spacing w:lineRule="auto" w:line="276"/>
        <w:ind w:hanging="0" w:end="-1"/>
        <w:jc w:val="both"/>
        <w:rPr>
          <w:rFonts w:ascii="Arial" w:hAnsi="Arial" w:cs="Arial"/>
          <w:sz w:val="22"/>
          <w:szCs w:val="22"/>
        </w:rPr>
      </w:pPr>
      <w:r>
        <w:rPr>
          <w:rFonts w:cs="Arial" w:ascii="Arial" w:hAnsi="Arial"/>
          <w:b/>
          <w:sz w:val="22"/>
          <w:szCs w:val="22"/>
        </w:rPr>
        <w:t xml:space="preserve">2.  </w:t>
      </w:r>
      <w:r>
        <w:rPr>
          <w:rFonts w:cs="Arial" w:ascii="Arial" w:hAnsi="Arial"/>
          <w:sz w:val="22"/>
          <w:szCs w:val="22"/>
        </w:rPr>
        <w:t xml:space="preserve"> </w:t>
      </w:r>
      <w:r>
        <w:rPr>
          <w:rFonts w:cs="Arial" w:ascii="Arial" w:hAnsi="Arial"/>
          <w:b/>
          <w:sz w:val="22"/>
          <w:szCs w:val="22"/>
          <w:u w:val="single"/>
        </w:rPr>
        <w:t>Podmioty udostępniające zasoby:</w:t>
      </w:r>
    </w:p>
    <w:p>
      <w:pPr>
        <w:pStyle w:val="Textbody"/>
        <w:numPr>
          <w:ilvl w:val="3"/>
          <w:numId w:val="4"/>
        </w:numPr>
        <w:tabs>
          <w:tab w:val="clear" w:pos="709"/>
          <w:tab w:val="left" w:pos="1703" w:leader="none"/>
          <w:tab w:val="left" w:pos="1845" w:leader="none"/>
        </w:tabs>
        <w:spacing w:lineRule="auto" w:line="276" w:before="60" w:after="0"/>
        <w:ind w:hanging="284" w:start="568" w:end="0"/>
        <w:jc w:val="both"/>
        <w:rPr>
          <w:rFonts w:ascii="Arial" w:hAnsi="Arial" w:cs="Arial"/>
          <w:bCs/>
          <w:sz w:val="22"/>
          <w:szCs w:val="22"/>
        </w:rPr>
      </w:pPr>
      <w:r>
        <w:rPr>
          <w:rFonts w:cs="Arial" w:ascii="Arial" w:hAnsi="Arial"/>
          <w:bCs/>
          <w:sz w:val="22"/>
          <w:szCs w:val="22"/>
        </w:rPr>
        <w:t>Wykonawca może, w celu potwierdzenia spełniania warunków udziału w postępowaniu, o których mowa w SWZ, w stosownych sytuacjach oraz w odniesieniu do konkretnego zamówienia lub jego części, polegać na zdolnościach technicznych lub zawodowych podmiotów udostępniających zasoby, niezależnie od charakteru prawnego łączących go z nimi stosunków prawnych (art. 118 ust. 1 ustawy Pzp).</w:t>
      </w:r>
    </w:p>
    <w:p>
      <w:pPr>
        <w:pStyle w:val="Standard"/>
        <w:numPr>
          <w:ilvl w:val="3"/>
          <w:numId w:val="4"/>
        </w:numPr>
        <w:tabs>
          <w:tab w:val="clear" w:pos="709"/>
          <w:tab w:val="left" w:pos="1845" w:leader="none"/>
        </w:tabs>
        <w:spacing w:lineRule="auto" w:line="276" w:before="60" w:after="60"/>
        <w:ind w:hanging="284" w:start="568"/>
        <w:jc w:val="both"/>
        <w:rPr>
          <w:rFonts w:ascii="Arial" w:hAnsi="Arial" w:cs="Arial"/>
          <w:bCs/>
          <w:sz w:val="22"/>
          <w:szCs w:val="22"/>
        </w:rPr>
      </w:pPr>
      <w:r>
        <w:rPr>
          <w:rFonts w:cs="Arial" w:ascii="Arial" w:hAnsi="Arial"/>
          <w:bCs/>
          <w:sz w:val="22"/>
          <w:szCs w:val="22"/>
        </w:rPr>
        <w:t>Zamawiający jednocześnie informuje, iż „stosowna sytuacja” o której mowa w ust. 1 niniejszej SWZ wystąpi wyłącznie w przypadku kiedy:</w:t>
      </w:r>
    </w:p>
    <w:p>
      <w:pPr>
        <w:pStyle w:val="Standard"/>
        <w:tabs>
          <w:tab w:val="clear" w:pos="709"/>
          <w:tab w:val="left" w:pos="2411" w:leader="none"/>
        </w:tabs>
        <w:spacing w:lineRule="auto" w:line="276"/>
        <w:ind w:hanging="284" w:start="851"/>
        <w:jc w:val="both"/>
        <w:rPr>
          <w:highlight w:val="none"/>
          <w:shd w:fill="FFFFFF" w:val="clear"/>
        </w:rPr>
      </w:pPr>
      <w:r>
        <w:rPr>
          <w:rFonts w:cs="Arial" w:ascii="Arial" w:hAnsi="Arial"/>
          <w:bCs/>
          <w:sz w:val="22"/>
          <w:szCs w:val="22"/>
          <w:shd w:fill="FFFFFF" w:val="clear"/>
        </w:rPr>
        <w:t>a)</w:t>
      </w:r>
      <w:r>
        <w:rPr>
          <w:rFonts w:cs="Arial" w:ascii="Arial" w:hAnsi="Arial"/>
          <w:sz w:val="22"/>
          <w:szCs w:val="22"/>
          <w:shd w:fill="FFFFFF" w:val="clear"/>
        </w:rPr>
        <w:t xml:space="preserve"> </w:t>
      </w:r>
      <w:r>
        <w:rPr>
          <w:rFonts w:cs="Arial" w:ascii="Arial" w:hAnsi="Arial"/>
          <w:bCs/>
          <w:sz w:val="22"/>
          <w:szCs w:val="22"/>
          <w:shd w:fill="FFFFFF" w:val="clear"/>
        </w:rPr>
        <w:tab/>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(art. 118 ust. 3 ustawy Pzp). Wzór oświadczenia stanowi </w:t>
      </w:r>
      <w:r>
        <w:rPr>
          <w:rFonts w:cs="Arial" w:ascii="Arial" w:hAnsi="Arial"/>
          <w:b/>
          <w:sz w:val="22"/>
          <w:szCs w:val="22"/>
          <w:shd w:fill="FFFFFF" w:val="clear"/>
        </w:rPr>
        <w:t>załącznik</w:t>
      </w:r>
      <w:r>
        <w:rPr>
          <w:rFonts w:cs="Arial" w:ascii="Arial" w:hAnsi="Arial"/>
          <w:bCs/>
          <w:sz w:val="22"/>
          <w:szCs w:val="22"/>
          <w:shd w:fill="FFFFFF" w:val="clear"/>
        </w:rPr>
        <w:t xml:space="preserve"> </w:t>
      </w:r>
      <w:r>
        <w:rPr>
          <w:rFonts w:cs="Arial" w:ascii="Arial" w:hAnsi="Arial"/>
          <w:b/>
          <w:sz w:val="22"/>
          <w:szCs w:val="22"/>
          <w:shd w:fill="FFFFFF" w:val="clear"/>
        </w:rPr>
        <w:t>nr 3 do SWZ</w:t>
      </w:r>
      <w:r>
        <w:rPr>
          <w:rFonts w:cs="Arial" w:ascii="Arial" w:hAnsi="Arial"/>
          <w:bCs/>
          <w:sz w:val="22"/>
          <w:szCs w:val="22"/>
          <w:shd w:fill="FFFFFF" w:val="clear"/>
        </w:rPr>
        <w:t>;</w:t>
      </w:r>
    </w:p>
    <w:p>
      <w:pPr>
        <w:pStyle w:val="Standard"/>
        <w:tabs>
          <w:tab w:val="clear" w:pos="709"/>
          <w:tab w:val="left" w:pos="2411" w:leader="none"/>
        </w:tabs>
        <w:spacing w:lineRule="auto" w:line="276" w:before="60" w:after="60"/>
        <w:ind w:hanging="284" w:start="851"/>
        <w:jc w:val="both"/>
        <w:rPr>
          <w:rFonts w:ascii="Arial" w:hAnsi="Arial" w:cs="Arial"/>
          <w:sz w:val="22"/>
          <w:szCs w:val="22"/>
        </w:rPr>
      </w:pPr>
      <w:r>
        <w:rPr>
          <w:rFonts w:cs="Arial" w:ascii="Arial" w:hAnsi="Arial"/>
          <w:bCs/>
          <w:sz w:val="22"/>
          <w:szCs w:val="22"/>
        </w:rPr>
        <w:t>b)</w:t>
        <w:tab/>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 (art. 119 ustawy Pzp).</w:t>
      </w:r>
    </w:p>
    <w:p>
      <w:pPr>
        <w:pStyle w:val="Standard"/>
        <w:numPr>
          <w:ilvl w:val="3"/>
          <w:numId w:val="4"/>
        </w:numPr>
        <w:tabs>
          <w:tab w:val="clear" w:pos="709"/>
          <w:tab w:val="left" w:pos="1843" w:leader="none"/>
        </w:tabs>
        <w:spacing w:lineRule="auto" w:line="276"/>
        <w:ind w:hanging="283" w:start="567"/>
        <w:jc w:val="both"/>
        <w:rPr>
          <w:rFonts w:ascii="Arial" w:hAnsi="Arial" w:cs="Arial"/>
          <w:sz w:val="22"/>
          <w:szCs w:val="22"/>
        </w:rPr>
      </w:pPr>
      <w:r>
        <w:rPr>
          <w:rFonts w:cs="Arial" w:ascii="Arial" w:hAnsi="Arial"/>
          <w:bCs/>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w:t>
      </w:r>
    </w:p>
    <w:p>
      <w:pPr>
        <w:pStyle w:val="Standard"/>
        <w:tabs>
          <w:tab w:val="clear" w:pos="709"/>
          <w:tab w:val="left" w:pos="2836" w:leader="none"/>
        </w:tabs>
        <w:spacing w:lineRule="auto" w:line="276"/>
        <w:ind w:hanging="142" w:start="851"/>
        <w:rPr>
          <w:rFonts w:ascii="Arial" w:hAnsi="Arial" w:cs="Arial"/>
          <w:sz w:val="22"/>
          <w:szCs w:val="22"/>
        </w:rPr>
      </w:pPr>
      <w:r>
        <w:rPr>
          <w:rFonts w:cs="Arial" w:ascii="Arial" w:hAnsi="Arial"/>
          <w:bCs/>
          <w:sz w:val="22"/>
          <w:szCs w:val="22"/>
        </w:rPr>
        <w:t xml:space="preserve">  −  </w:t>
      </w:r>
      <w:r>
        <w:rPr>
          <w:rFonts w:cs="Arial" w:ascii="Arial" w:hAnsi="Arial"/>
          <w:bCs/>
          <w:sz w:val="22"/>
          <w:szCs w:val="22"/>
        </w:rPr>
        <w:t>zastąpił ten podmiot innym podmiotem lub podmiotami albo</w:t>
      </w:r>
    </w:p>
    <w:p>
      <w:pPr>
        <w:pStyle w:val="Standard"/>
        <w:spacing w:lineRule="auto" w:line="276"/>
        <w:ind w:hanging="567" w:start="1134"/>
        <w:jc w:val="both"/>
        <w:rPr>
          <w:rFonts w:ascii="Arial" w:hAnsi="Arial" w:cs="Arial"/>
          <w:sz w:val="22"/>
          <w:szCs w:val="22"/>
        </w:rPr>
      </w:pPr>
      <w:r>
        <w:rPr>
          <w:rFonts w:cs="Arial" w:ascii="Arial" w:hAnsi="Arial"/>
          <w:bCs/>
          <w:sz w:val="22"/>
          <w:szCs w:val="22"/>
        </w:rPr>
        <w:t xml:space="preserve">    −  </w:t>
      </w:r>
      <w:r>
        <w:rPr>
          <w:rFonts w:cs="Arial" w:ascii="Arial" w:hAnsi="Arial"/>
          <w:bCs/>
          <w:sz w:val="22"/>
          <w:szCs w:val="22"/>
        </w:rPr>
        <w:t>wykazał, że samodzielnie spełnia warunki udziału w postępowaniu (art. 122 ustawy Pzp).</w:t>
      </w:r>
    </w:p>
    <w:p>
      <w:pPr>
        <w:pStyle w:val="Textbody"/>
        <w:tabs>
          <w:tab w:val="clear" w:pos="709"/>
          <w:tab w:val="left" w:pos="1070" w:leader="none"/>
        </w:tabs>
        <w:spacing w:lineRule="auto" w:line="276" w:before="120" w:after="60"/>
        <w:ind w:hanging="0" w:start="360" w:end="0"/>
        <w:jc w:val="both"/>
        <w:rPr>
          <w:rFonts w:ascii="Arial" w:hAnsi="Arial" w:cs="Arial"/>
          <w:b/>
          <w:sz w:val="22"/>
          <w:szCs w:val="22"/>
          <w:u w:val="single"/>
        </w:rPr>
      </w:pPr>
      <w:r>
        <w:rPr>
          <w:rFonts w:cs="Arial" w:ascii="Arial" w:hAnsi="Arial"/>
          <w:b/>
          <w:sz w:val="22"/>
          <w:szCs w:val="22"/>
        </w:rPr>
        <w:t xml:space="preserve">3.  </w:t>
      </w:r>
      <w:r>
        <w:rPr>
          <w:rFonts w:cs="Arial" w:ascii="Arial" w:hAnsi="Arial"/>
          <w:b/>
          <w:sz w:val="22"/>
          <w:szCs w:val="22"/>
          <w:u w:val="single"/>
        </w:rPr>
        <w:t xml:space="preserve">Wykonawcy wspólnie ubiegający się o udzielenie zamówienia (konsorcja, spółki </w:t>
      </w:r>
    </w:p>
    <w:p>
      <w:pPr>
        <w:pStyle w:val="Textbody"/>
        <w:tabs>
          <w:tab w:val="clear" w:pos="709"/>
          <w:tab w:val="left" w:pos="1070" w:leader="none"/>
        </w:tabs>
        <w:spacing w:lineRule="auto" w:line="276" w:before="120" w:after="60"/>
        <w:ind w:hanging="0" w:start="360" w:end="0"/>
        <w:jc w:val="both"/>
        <w:rPr>
          <w:rFonts w:ascii="Arial" w:hAnsi="Arial" w:cs="Arial"/>
          <w:b/>
          <w:sz w:val="22"/>
          <w:szCs w:val="22"/>
          <w:u w:val="single"/>
        </w:rPr>
      </w:pPr>
      <w:r>
        <w:rPr>
          <w:rFonts w:cs="Arial" w:ascii="Arial" w:hAnsi="Arial"/>
          <w:b/>
          <w:sz w:val="22"/>
          <w:szCs w:val="22"/>
        </w:rPr>
        <w:t xml:space="preserve">     </w:t>
      </w:r>
      <w:r>
        <w:rPr>
          <w:rFonts w:cs="Arial" w:ascii="Arial" w:hAnsi="Arial"/>
          <w:b/>
          <w:sz w:val="22"/>
          <w:szCs w:val="22"/>
          <w:u w:val="single"/>
        </w:rPr>
        <w:t xml:space="preserve">spółki cywilne):       </w:t>
      </w:r>
    </w:p>
    <w:p>
      <w:pPr>
        <w:pStyle w:val="Standard"/>
        <w:numPr>
          <w:ilvl w:val="3"/>
          <w:numId w:val="2"/>
        </w:numPr>
        <w:tabs>
          <w:tab w:val="clear" w:pos="709"/>
          <w:tab w:val="left" w:pos="1845" w:leader="none"/>
        </w:tabs>
        <w:spacing w:lineRule="auto" w:line="276" w:before="60" w:after="60"/>
        <w:ind w:hanging="284" w:start="568"/>
        <w:jc w:val="both"/>
        <w:rPr>
          <w:rFonts w:ascii="Arial" w:hAnsi="Arial" w:cs="Arial"/>
          <w:bCs/>
          <w:sz w:val="22"/>
          <w:szCs w:val="22"/>
        </w:rPr>
      </w:pPr>
      <w:r>
        <w:rPr>
          <w:rFonts w:cs="Arial" w:ascii="Arial" w:hAnsi="Arial"/>
          <w:bCs/>
          <w:sz w:val="22"/>
          <w:szCs w:val="22"/>
        </w:rPr>
        <w:t>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pełnomocnictwa złożonego wraz z ofertą w oryginale lub w formie notarialnie potwierdzonego odpisu.</w:t>
      </w:r>
    </w:p>
    <w:p>
      <w:pPr>
        <w:pStyle w:val="Standard"/>
        <w:numPr>
          <w:ilvl w:val="3"/>
          <w:numId w:val="2"/>
        </w:numPr>
        <w:tabs>
          <w:tab w:val="clear" w:pos="709"/>
          <w:tab w:val="left" w:pos="1845" w:leader="none"/>
        </w:tabs>
        <w:spacing w:lineRule="auto" w:line="276" w:before="60" w:after="60"/>
        <w:ind w:hanging="284" w:start="568"/>
        <w:jc w:val="both"/>
        <w:rPr>
          <w:rFonts w:ascii="Arial" w:hAnsi="Arial" w:cs="Arial"/>
          <w:bCs/>
          <w:sz w:val="22"/>
          <w:szCs w:val="22"/>
        </w:rPr>
      </w:pPr>
      <w:r>
        <w:rPr>
          <w:rFonts w:cs="Arial" w:ascii="Arial" w:hAnsi="Arial"/>
          <w:bCs/>
          <w:sz w:val="22"/>
          <w:szCs w:val="22"/>
        </w:rPr>
        <w:t>Pełnomocnictwo, o którym mowa w ust. 1 powinno zawierać w szczególności wskazanie:</w:t>
      </w:r>
    </w:p>
    <w:p>
      <w:pPr>
        <w:pStyle w:val="Standard"/>
        <w:numPr>
          <w:ilvl w:val="0"/>
          <w:numId w:val="5"/>
        </w:numPr>
        <w:spacing w:lineRule="auto" w:line="276"/>
        <w:jc w:val="both"/>
        <w:rPr>
          <w:rFonts w:ascii="Arial" w:hAnsi="Arial" w:cs="Arial"/>
          <w:sz w:val="22"/>
          <w:szCs w:val="22"/>
        </w:rPr>
      </w:pPr>
      <w:r>
        <w:rPr>
          <w:rFonts w:cs="Arial" w:ascii="Arial" w:hAnsi="Arial"/>
          <w:bCs/>
          <w:sz w:val="22"/>
          <w:szCs w:val="22"/>
        </w:rPr>
        <w:t>postępowania o zamówienie publiczne, którego dotyczy;</w:t>
      </w:r>
    </w:p>
    <w:p>
      <w:pPr>
        <w:pStyle w:val="Standard"/>
        <w:numPr>
          <w:ilvl w:val="0"/>
          <w:numId w:val="5"/>
        </w:numPr>
        <w:tabs>
          <w:tab w:val="clear" w:pos="709"/>
          <w:tab w:val="left" w:pos="1560" w:leader="none"/>
        </w:tabs>
        <w:spacing w:lineRule="auto" w:line="276" w:before="60" w:after="0"/>
        <w:jc w:val="both"/>
        <w:rPr>
          <w:rFonts w:ascii="Arial" w:hAnsi="Arial" w:cs="Arial"/>
          <w:sz w:val="22"/>
          <w:szCs w:val="22"/>
        </w:rPr>
      </w:pPr>
      <w:r>
        <w:rPr>
          <w:rFonts w:cs="Arial" w:ascii="Arial" w:hAnsi="Arial"/>
          <w:bCs/>
          <w:sz w:val="22"/>
          <w:szCs w:val="22"/>
        </w:rPr>
        <w:t>wszystkich Wykonawców ubiegających się wspólnie o udzielenie zamówienia wymienionych z nazwy z określeniem adresu siedziby;</w:t>
      </w:r>
    </w:p>
    <w:p>
      <w:pPr>
        <w:pStyle w:val="Standard"/>
        <w:numPr>
          <w:ilvl w:val="0"/>
          <w:numId w:val="5"/>
        </w:numPr>
        <w:tabs>
          <w:tab w:val="clear" w:pos="709"/>
          <w:tab w:val="left" w:pos="1560" w:leader="none"/>
        </w:tabs>
        <w:spacing w:lineRule="auto" w:line="276" w:before="60" w:after="0"/>
        <w:jc w:val="both"/>
        <w:rPr>
          <w:rFonts w:ascii="Arial" w:hAnsi="Arial" w:cs="Arial"/>
          <w:sz w:val="22"/>
          <w:szCs w:val="22"/>
        </w:rPr>
      </w:pPr>
      <w:r>
        <w:rPr>
          <w:rFonts w:cs="Arial" w:ascii="Arial" w:hAnsi="Arial"/>
          <w:bCs/>
          <w:sz w:val="22"/>
          <w:szCs w:val="22"/>
        </w:rPr>
        <w:t>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 podejmowanie zobowiązań związanych z postępowaniem o zamówienie publiczne.</w:t>
      </w:r>
    </w:p>
    <w:p>
      <w:pPr>
        <w:pStyle w:val="Standard"/>
        <w:tabs>
          <w:tab w:val="clear" w:pos="709"/>
          <w:tab w:val="left" w:pos="1843" w:leader="none"/>
        </w:tabs>
        <w:spacing w:lineRule="auto" w:line="276" w:before="60" w:after="0"/>
        <w:ind w:hanging="0" w:start="567"/>
        <w:jc w:val="both"/>
        <w:rPr>
          <w:rFonts w:ascii="Arial" w:hAnsi="Arial" w:cs="Arial"/>
          <w:sz w:val="22"/>
          <w:szCs w:val="22"/>
        </w:rPr>
      </w:pPr>
      <w:r>
        <w:rPr>
          <w:rFonts w:cs="Arial" w:ascii="Arial" w:hAnsi="Arial"/>
          <w:bCs/>
          <w:sz w:val="22"/>
          <w:szCs w:val="22"/>
        </w:rPr>
        <w:t>Dokument pełnomocnictwa musi być podpisany w imieniu wszystkich Wykonawców ubiegających się wspólnie o udzielenie zamówienia, w tym pełnomocnika i przez osoby uprawnione do składania oświadczeń woli wymienione we właściwym rejestrze lub ewidencji Wykonawcy.</w:t>
      </w:r>
    </w:p>
    <w:p>
      <w:pPr>
        <w:pStyle w:val="Standard"/>
        <w:spacing w:lineRule="auto" w:line="276" w:before="60" w:after="60"/>
        <w:ind w:hanging="284" w:start="568"/>
        <w:jc w:val="both"/>
        <w:rPr>
          <w:rFonts w:ascii="Arial" w:hAnsi="Arial" w:cs="Arial"/>
          <w:bCs/>
          <w:sz w:val="22"/>
          <w:szCs w:val="22"/>
        </w:rPr>
      </w:pPr>
      <w:r>
        <w:rPr>
          <w:rFonts w:cs="Arial" w:ascii="Arial" w:hAnsi="Arial"/>
          <w:bCs/>
          <w:sz w:val="22"/>
          <w:szCs w:val="22"/>
        </w:rPr>
        <w:t>3)</w:t>
        <w:tab/>
        <w:t>Wykonawcy działający w ramach spółki cywilnej zamiast pełnomocnictwa, o którym mowa w ust. 1 SWZ mogą załączyć do oferty odpis aktualnej umowy spółki, jeżeli będzie z niej wynikać zakres umocowania wspólników.</w:t>
      </w:r>
    </w:p>
    <w:p>
      <w:pPr>
        <w:pStyle w:val="Standard"/>
        <w:tabs>
          <w:tab w:val="clear" w:pos="709"/>
          <w:tab w:val="left" w:pos="2268" w:leader="none"/>
        </w:tabs>
        <w:spacing w:lineRule="auto" w:line="276"/>
        <w:ind w:hanging="283" w:start="567"/>
        <w:jc w:val="both"/>
        <w:rPr>
          <w:rFonts w:ascii="Arial" w:hAnsi="Arial" w:cs="Arial"/>
          <w:bCs/>
          <w:sz w:val="22"/>
          <w:szCs w:val="22"/>
        </w:rPr>
      </w:pPr>
      <w:r>
        <w:rPr>
          <w:rFonts w:cs="Arial" w:ascii="Arial" w:hAnsi="Arial"/>
          <w:bCs/>
          <w:sz w:val="22"/>
          <w:szCs w:val="22"/>
        </w:rPr>
        <w:t>4)</w:t>
        <w:tab/>
        <w:t>wszelka korespondencja będzie prowadzona wyłącznie z pełnomocnikiem.</w:t>
      </w:r>
    </w:p>
    <w:p>
      <w:pPr>
        <w:pStyle w:val="Standard"/>
        <w:numPr>
          <w:ilvl w:val="0"/>
          <w:numId w:val="6"/>
        </w:numPr>
        <w:tabs>
          <w:tab w:val="clear" w:pos="709"/>
          <w:tab w:val="left" w:pos="1701" w:leader="none"/>
        </w:tabs>
        <w:spacing w:lineRule="auto" w:line="276"/>
        <w:jc w:val="both"/>
        <w:rPr>
          <w:rFonts w:ascii="Arial" w:hAnsi="Arial" w:cs="Arial"/>
          <w:bCs/>
          <w:sz w:val="22"/>
          <w:szCs w:val="22"/>
        </w:rPr>
      </w:pPr>
      <w:r>
        <w:rPr>
          <w:rFonts w:cs="Arial" w:ascii="Arial" w:hAnsi="Arial"/>
          <w:bCs/>
          <w:sz w:val="22"/>
          <w:szCs w:val="22"/>
        </w:rPr>
        <w:t>w przypadku Wykonawców wspólnie ubiegających się o udzielenie zamówienia, oświadczenie wstępne składa każdy z Wykonawców wspólnie ubiegających się o zamówienie. Oświadczenie to potwierdza spełnianie warunków udziału w postępowaniu oraz brak podstaw do wykluczenia w zakresie, w którym każdy z Wykonawców wykazuje spełnianie warunków udziału w postępowaniu oraz brak podstaw do wykluczenia.</w:t>
      </w:r>
    </w:p>
    <w:p>
      <w:pPr>
        <w:pStyle w:val="Standard"/>
        <w:spacing w:lineRule="auto" w:line="276"/>
        <w:ind w:hanging="283" w:start="567"/>
        <w:jc w:val="both"/>
        <w:rPr>
          <w:rFonts w:ascii="Arial" w:hAnsi="Arial" w:cs="Arial"/>
          <w:bCs/>
          <w:sz w:val="22"/>
          <w:szCs w:val="22"/>
        </w:rPr>
      </w:pPr>
      <w:r>
        <w:rPr>
          <w:rFonts w:cs="Arial" w:ascii="Arial" w:hAnsi="Arial"/>
          <w:bCs/>
          <w:sz w:val="22"/>
          <w:szCs w:val="22"/>
        </w:rPr>
        <w:t>6)</w:t>
        <w:tab/>
        <w:t xml:space="preserve">oświadczenia i dokumenty potwierdzające brak podstaw do wykluczenia </w:t>
        <w:br/>
        <w:t xml:space="preserve">z postępowania, w tym oświadczenie o aktualności informacji zawartych </w:t>
        <w:br/>
        <w:t xml:space="preserve">w oświadczeniu, o którym mowa w art. 125 ust. 1 ustawy Pzp, składa każdy </w:t>
        <w:br/>
        <w:t>z Wykonawców wspólnie ubiegających się o zamówienie.</w:t>
      </w:r>
    </w:p>
    <w:p>
      <w:pPr>
        <w:pStyle w:val="Standard"/>
        <w:spacing w:lineRule="auto" w:line="276" w:before="60" w:after="60"/>
        <w:ind w:hanging="284" w:start="568"/>
        <w:jc w:val="both"/>
        <w:rPr>
          <w:rFonts w:ascii="Arial" w:hAnsi="Arial" w:cs="Arial"/>
          <w:sz w:val="22"/>
          <w:szCs w:val="22"/>
        </w:rPr>
      </w:pPr>
      <w:r>
        <w:rPr>
          <w:rFonts w:cs="Arial" w:ascii="Arial" w:hAnsi="Arial"/>
          <w:bCs/>
          <w:sz w:val="22"/>
          <w:szCs w:val="22"/>
        </w:rPr>
        <w:t>7)</w:t>
        <w:tab/>
        <w:t xml:space="preserve">Wykonawcy wspólnie ubiegający się o udzielenie zamówienia </w:t>
      </w:r>
      <w:r>
        <w:rPr>
          <w:rFonts w:cs="Arial" w:ascii="Arial" w:hAnsi="Arial"/>
          <w:b/>
          <w:sz w:val="22"/>
          <w:szCs w:val="22"/>
          <w:u w:val="single"/>
        </w:rPr>
        <w:t>dołączają do</w:t>
      </w:r>
      <w:r>
        <w:rPr>
          <w:rFonts w:cs="Arial" w:ascii="Arial" w:hAnsi="Arial"/>
          <w:bCs/>
          <w:sz w:val="22"/>
          <w:szCs w:val="22"/>
          <w:u w:val="single"/>
        </w:rPr>
        <w:t xml:space="preserve"> </w:t>
      </w:r>
      <w:r>
        <w:rPr>
          <w:rFonts w:cs="Arial" w:ascii="Arial" w:hAnsi="Arial"/>
          <w:b/>
          <w:sz w:val="22"/>
          <w:szCs w:val="22"/>
          <w:u w:val="single"/>
        </w:rPr>
        <w:t>oferty</w:t>
      </w:r>
      <w:r>
        <w:rPr>
          <w:rFonts w:cs="Arial" w:ascii="Arial" w:hAnsi="Arial"/>
          <w:bCs/>
          <w:sz w:val="22"/>
          <w:szCs w:val="22"/>
        </w:rPr>
        <w:t xml:space="preserve"> oświadczenie zgodnie ze wzorem stanowiącym </w:t>
      </w:r>
      <w:r>
        <w:rPr>
          <w:rFonts w:cs="Arial" w:ascii="Arial" w:hAnsi="Arial"/>
          <w:b/>
          <w:sz w:val="22"/>
          <w:szCs w:val="22"/>
        </w:rPr>
        <w:t>załącznik nr 6 do SWZ</w:t>
      </w:r>
      <w:r>
        <w:rPr>
          <w:rFonts w:cs="Arial" w:ascii="Arial" w:hAnsi="Arial"/>
          <w:bCs/>
          <w:sz w:val="22"/>
          <w:szCs w:val="22"/>
        </w:rPr>
        <w:t>.</w:t>
      </w:r>
    </w:p>
    <w:p>
      <w:pPr>
        <w:pStyle w:val="Standard"/>
        <w:tabs>
          <w:tab w:val="clear" w:pos="709"/>
          <w:tab w:val="left" w:pos="1701" w:leader="none"/>
        </w:tabs>
        <w:spacing w:lineRule="auto" w:line="276"/>
        <w:ind w:hanging="283" w:start="567"/>
        <w:jc w:val="both"/>
        <w:rPr>
          <w:rFonts w:ascii="Arial" w:hAnsi="Arial" w:cs="Arial"/>
          <w:bCs/>
          <w:sz w:val="22"/>
          <w:szCs w:val="22"/>
        </w:rPr>
      </w:pPr>
      <w:r>
        <w:rPr>
          <w:rFonts w:cs="Arial" w:ascii="Arial" w:hAnsi="Arial"/>
          <w:bCs/>
          <w:sz w:val="22"/>
          <w:szCs w:val="22"/>
        </w:rPr>
        <w:t>8)</w:t>
        <w:tab/>
        <w:t>w przypadku wyboru oferty Wykonawców wspólnie ubiegających się o udzielenie zamówienia, Zamawiający zażąda przed zawarciem umowy w sprawie zamówienia publicznego, umowy regulującej współpracę tych Wykonawców.</w:t>
      </w:r>
    </w:p>
    <w:p>
      <w:pPr>
        <w:pStyle w:val="Textbody"/>
        <w:tabs>
          <w:tab w:val="clear" w:pos="709"/>
          <w:tab w:val="left" w:pos="2410" w:leader="none"/>
        </w:tabs>
        <w:spacing w:lineRule="auto" w:line="276"/>
        <w:ind w:hanging="0" w:end="-1"/>
        <w:jc w:val="both"/>
        <w:rPr>
          <w:rFonts w:ascii="Arial" w:hAnsi="Arial" w:cs="Arial"/>
          <w:b/>
          <w:bCs/>
          <w:sz w:val="22"/>
          <w:szCs w:val="22"/>
        </w:rPr>
      </w:pPr>
      <w:r>
        <w:rPr>
          <w:rFonts w:cs="Arial" w:ascii="Arial" w:hAnsi="Arial"/>
          <w:b/>
          <w:bCs/>
          <w:sz w:val="22"/>
          <w:szCs w:val="22"/>
        </w:rPr>
      </w:r>
    </w:p>
    <w:p>
      <w:pPr>
        <w:pStyle w:val="Textbody"/>
        <w:pBdr>
          <w:top w:val="single" w:sz="4" w:space="1" w:color="000000"/>
          <w:left w:val="single" w:sz="4" w:space="4" w:color="000000"/>
          <w:bottom w:val="single" w:sz="4" w:space="1" w:color="000000"/>
          <w:right w:val="single" w:sz="4" w:space="4" w:color="000000"/>
        </w:pBdr>
        <w:shd w:val="clear" w:color="auto" w:fill="D9D9D9"/>
        <w:tabs>
          <w:tab w:val="clear" w:pos="709"/>
          <w:tab w:val="left" w:pos="3686" w:leader="none"/>
        </w:tabs>
        <w:spacing w:lineRule="auto" w:line="276"/>
        <w:ind w:hanging="1276" w:start="1276" w:end="-1"/>
        <w:rPr>
          <w:rFonts w:ascii="Arial" w:hAnsi="Arial" w:cs="Arial"/>
          <w:sz w:val="22"/>
          <w:szCs w:val="22"/>
        </w:rPr>
      </w:pPr>
      <w:r>
        <w:rPr>
          <w:rFonts w:cs="Arial" w:ascii="Arial" w:hAnsi="Arial"/>
          <w:b/>
          <w:bCs/>
          <w:sz w:val="22"/>
          <w:szCs w:val="22"/>
        </w:rPr>
        <w:t xml:space="preserve">ROZDZIAŁ VII - </w:t>
      </w:r>
      <w:r>
        <w:rPr>
          <w:rFonts w:cs="Arial" w:ascii="Arial" w:hAnsi="Arial"/>
          <w:sz w:val="22"/>
          <w:szCs w:val="22"/>
        </w:rPr>
        <w:t>PODSTAWY WYKLUCZENIA</w:t>
      </w:r>
    </w:p>
    <w:p>
      <w:pPr>
        <w:pStyle w:val="Textbody"/>
        <w:tabs>
          <w:tab w:val="clear" w:pos="709"/>
          <w:tab w:val="left" w:pos="852" w:leader="none"/>
        </w:tabs>
        <w:spacing w:lineRule="auto" w:line="276" w:before="60" w:after="60"/>
        <w:ind w:hanging="0" w:start="284" w:end="0"/>
        <w:jc w:val="both"/>
        <w:rPr>
          <w:rFonts w:ascii="Arial" w:hAnsi="Arial" w:cs="Arial"/>
          <w:sz w:val="22"/>
          <w:szCs w:val="22"/>
        </w:rPr>
      </w:pPr>
      <w:r>
        <w:rPr>
          <w:rFonts w:cs="Arial" w:ascii="Arial" w:hAnsi="Arial"/>
          <w:sz w:val="22"/>
          <w:szCs w:val="22"/>
        </w:rPr>
      </w:r>
    </w:p>
    <w:p>
      <w:pPr>
        <w:pStyle w:val="Textbody"/>
        <w:numPr>
          <w:ilvl w:val="2"/>
          <w:numId w:val="7"/>
        </w:numPr>
        <w:tabs>
          <w:tab w:val="clear" w:pos="709"/>
          <w:tab w:val="left" w:pos="852" w:leader="none"/>
        </w:tabs>
        <w:spacing w:lineRule="auto" w:line="276" w:before="60" w:after="60"/>
        <w:ind w:hanging="284" w:start="284" w:end="0"/>
        <w:jc w:val="both"/>
        <w:rPr>
          <w:rFonts w:ascii="Arial" w:hAnsi="Arial" w:cs="Arial"/>
          <w:sz w:val="22"/>
          <w:szCs w:val="22"/>
        </w:rPr>
      </w:pPr>
      <w:r>
        <w:rPr>
          <w:rFonts w:cs="Arial" w:ascii="Arial" w:hAnsi="Arial"/>
          <w:sz w:val="22"/>
          <w:szCs w:val="22"/>
        </w:rPr>
        <w:t>Z postępowania o udzielnie zamówienia wyklucza się Wykonawców, w stosunku do których zachodzi którakolwiek z okoliczności wskazanych  w art. 108 ust. 1 ustawy Pzp.</w:t>
      </w:r>
    </w:p>
    <w:p>
      <w:pPr>
        <w:pStyle w:val="Textbody"/>
        <w:numPr>
          <w:ilvl w:val="2"/>
          <w:numId w:val="7"/>
        </w:numPr>
        <w:tabs>
          <w:tab w:val="clear" w:pos="709"/>
          <w:tab w:val="left" w:pos="852" w:leader="none"/>
        </w:tabs>
        <w:spacing w:lineRule="auto" w:line="276" w:before="60" w:after="60"/>
        <w:ind w:hanging="284" w:start="284" w:end="0"/>
        <w:jc w:val="both"/>
        <w:rPr>
          <w:rFonts w:ascii="Arial" w:hAnsi="Arial" w:cs="Arial"/>
          <w:sz w:val="22"/>
          <w:szCs w:val="22"/>
        </w:rPr>
      </w:pPr>
      <w:r>
        <w:rPr>
          <w:rFonts w:cs="Arial" w:ascii="Arial" w:hAnsi="Arial"/>
          <w:sz w:val="22"/>
          <w:szCs w:val="22"/>
        </w:rPr>
        <w:t>Z  postępowania  o  udzielenie  zamówienia  Zamawiający  może  wykluczyć Wykonawców  w  stosunku, do  których  zachodzi  którakolwiek  z  okoliczności wskazanych  w  art.  109  ust. 1 pkt 4, 5 i 7 ustawy  P</w:t>
      </w:r>
      <w:r>
        <w:rPr>
          <w:rFonts w:cs="Arial" w:ascii="Arial" w:hAnsi="Arial"/>
          <w:sz w:val="22"/>
          <w:szCs w:val="22"/>
          <w:lang w:val="en-US"/>
        </w:rPr>
        <w:t>zp.</w:t>
      </w:r>
    </w:p>
    <w:p>
      <w:pPr>
        <w:pStyle w:val="Textbody"/>
        <w:numPr>
          <w:ilvl w:val="2"/>
          <w:numId w:val="7"/>
        </w:numPr>
        <w:tabs>
          <w:tab w:val="clear" w:pos="709"/>
          <w:tab w:val="left" w:pos="852" w:leader="none"/>
        </w:tabs>
        <w:spacing w:lineRule="auto" w:line="276" w:before="60" w:after="60"/>
        <w:ind w:hanging="284" w:start="284" w:end="0"/>
        <w:jc w:val="both"/>
        <w:rPr>
          <w:rFonts w:ascii="Arial" w:hAnsi="Arial" w:cs="Arial"/>
          <w:sz w:val="22"/>
          <w:szCs w:val="22"/>
        </w:rPr>
      </w:pPr>
      <w:r>
        <w:rPr>
          <w:rFonts w:cs="Arial" w:ascii="Arial" w:hAnsi="Arial"/>
          <w:sz w:val="22"/>
          <w:szCs w:val="22"/>
        </w:rPr>
        <w:t xml:space="preserve">Wykonawca nie podlega wykluczeniu w okolicznościach określonych </w:t>
      </w:r>
      <w:r>
        <w:rPr>
          <w:rFonts w:cs="Arial" w:ascii="Arial" w:hAnsi="Arial"/>
          <w:sz w:val="22"/>
          <w:szCs w:val="22"/>
          <w:shd w:fill="FFFFFF" w:val="clear"/>
        </w:rPr>
        <w:t>w art. 108 ust. 1 pkt 1, 2 i 5 ustawy Pzp i  art. 109 ust. 1 ust. 1 pkt 2-5 i 7-10, jeżeli udowodni Zamawiającemu, że spełnił łącznie przesłanki wskazane w art. 110 ust. 2 ustawy Pzp.</w:t>
      </w:r>
    </w:p>
    <w:p>
      <w:pPr>
        <w:pStyle w:val="Textbody"/>
        <w:numPr>
          <w:ilvl w:val="2"/>
          <w:numId w:val="7"/>
        </w:numPr>
        <w:tabs>
          <w:tab w:val="clear" w:pos="709"/>
          <w:tab w:val="left" w:pos="852" w:leader="none"/>
        </w:tabs>
        <w:spacing w:lineRule="auto" w:line="276" w:before="60" w:after="60"/>
        <w:ind w:hanging="284" w:start="284" w:end="0"/>
        <w:jc w:val="both"/>
        <w:rPr>
          <w:rFonts w:ascii="Arial" w:hAnsi="Arial" w:cs="Arial"/>
          <w:sz w:val="22"/>
          <w:szCs w:val="22"/>
        </w:rPr>
      </w:pPr>
      <w:r>
        <w:rPr>
          <w:rFonts w:cs="Arial" w:ascii="Arial" w:hAnsi="Arial"/>
          <w:sz w:val="22"/>
          <w:szCs w:val="22"/>
        </w:rPr>
        <w:t>Zamawiający, na podstawie art. 110 ust. 3,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pPr>
        <w:pStyle w:val="Textbody"/>
        <w:numPr>
          <w:ilvl w:val="2"/>
          <w:numId w:val="7"/>
        </w:numPr>
        <w:tabs>
          <w:tab w:val="clear" w:pos="709"/>
          <w:tab w:val="left" w:pos="852" w:leader="none"/>
        </w:tabs>
        <w:spacing w:lineRule="auto" w:line="276" w:before="60" w:after="60"/>
        <w:ind w:hanging="284" w:start="284" w:end="0"/>
        <w:jc w:val="both"/>
        <w:rPr>
          <w:rFonts w:ascii="Arial" w:hAnsi="Arial" w:cs="Arial"/>
          <w:sz w:val="22"/>
          <w:szCs w:val="22"/>
        </w:rPr>
      </w:pPr>
      <w:r>
        <w:rPr>
          <w:rFonts w:cs="Arial" w:ascii="Arial" w:hAnsi="Arial"/>
          <w:sz w:val="22"/>
          <w:szCs w:val="22"/>
        </w:rPr>
        <w:t>Wykluczenie Wykonawcy następuje zgodnie z art. 111 ustawy Pzp i może nastąpić na każdym etapie postępowania o udzielenie zamówienia.</w:t>
      </w:r>
    </w:p>
    <w:p>
      <w:pPr>
        <w:pStyle w:val="Textbody"/>
        <w:numPr>
          <w:ilvl w:val="2"/>
          <w:numId w:val="7"/>
        </w:numPr>
        <w:tabs>
          <w:tab w:val="clear" w:pos="709"/>
          <w:tab w:val="left" w:pos="852" w:leader="none"/>
        </w:tabs>
        <w:spacing w:lineRule="auto" w:line="276" w:before="60" w:after="60"/>
        <w:ind w:hanging="284" w:start="284" w:end="0"/>
        <w:jc w:val="both"/>
        <w:rPr>
          <w:rFonts w:ascii="Arial" w:hAnsi="Arial" w:cs="Arial"/>
          <w:sz w:val="22"/>
          <w:szCs w:val="22"/>
        </w:rPr>
      </w:pPr>
      <w:r>
        <w:rPr>
          <w:rFonts w:cs="Arial" w:ascii="Arial" w:hAnsi="Arial"/>
          <w:color w:val="000000"/>
          <w:sz w:val="22"/>
          <w:szCs w:val="22"/>
        </w:rPr>
        <w:t xml:space="preserve">Z postępowania o udzielenie zamówienia publicznego lub konkursu prowadzonego na podstawie ustawy z dnia 11 września 2019 r. – Prawo zamówień publicznych wyklucza się: </w:t>
      </w:r>
    </w:p>
    <w:p>
      <w:pPr>
        <w:pStyle w:val="Header"/>
        <w:numPr>
          <w:ilvl w:val="0"/>
          <w:numId w:val="8"/>
        </w:numPr>
        <w:spacing w:lineRule="auto" w:line="276"/>
        <w:jc w:val="both"/>
        <w:rPr>
          <w:rFonts w:ascii="Arial" w:hAnsi="Arial" w:cs="Arial"/>
          <w:color w:val="000000"/>
          <w:sz w:val="22"/>
          <w:szCs w:val="22"/>
        </w:rPr>
      </w:pPr>
      <w:r>
        <w:rPr>
          <w:rFonts w:cs="Arial" w:ascii="Arial" w:hAnsi="Arial"/>
          <w:color w:val="000000"/>
          <w:sz w:val="22"/>
          <w:szCs w:val="22"/>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pPr>
        <w:pStyle w:val="Header"/>
        <w:numPr>
          <w:ilvl w:val="0"/>
          <w:numId w:val="8"/>
        </w:numPr>
        <w:spacing w:lineRule="auto" w:line="276"/>
        <w:jc w:val="both"/>
        <w:rPr>
          <w:rFonts w:ascii="Arial" w:hAnsi="Arial" w:cs="Arial"/>
          <w:color w:val="000000"/>
          <w:sz w:val="22"/>
          <w:szCs w:val="22"/>
        </w:rPr>
      </w:pPr>
      <w:r>
        <w:rPr>
          <w:rFonts w:cs="Arial" w:ascii="Arial" w:hAnsi="Arial"/>
          <w:color w:val="000000"/>
          <w:sz w:val="22"/>
          <w:szCs w:val="22"/>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pPr>
        <w:pStyle w:val="Header"/>
        <w:numPr>
          <w:ilvl w:val="0"/>
          <w:numId w:val="8"/>
        </w:numPr>
        <w:spacing w:lineRule="auto" w:line="276"/>
        <w:jc w:val="both"/>
        <w:rPr>
          <w:rFonts w:ascii="Arial" w:hAnsi="Arial" w:cs="Arial"/>
          <w:color w:val="000000"/>
          <w:sz w:val="22"/>
          <w:szCs w:val="22"/>
        </w:rPr>
      </w:pPr>
      <w:r>
        <w:rPr>
          <w:rFonts w:cs="Arial" w:ascii="Arial" w:hAnsi="Arial"/>
          <w:color w:val="000000"/>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pPr>
        <w:pStyle w:val="Header"/>
        <w:spacing w:lineRule="auto" w:line="276"/>
        <w:jc w:val="both"/>
        <w:rPr>
          <w:rFonts w:ascii="Arial" w:hAnsi="Arial" w:cs="Arial"/>
          <w:color w:val="000000"/>
          <w:sz w:val="22"/>
          <w:szCs w:val="22"/>
        </w:rPr>
      </w:pPr>
      <w:r>
        <w:rPr>
          <w:rFonts w:cs="Arial" w:ascii="Arial" w:hAnsi="Arial"/>
          <w:color w:val="000000"/>
          <w:sz w:val="22"/>
          <w:szCs w:val="22"/>
        </w:rPr>
      </w:r>
    </w:p>
    <w:p>
      <w:pPr>
        <w:pStyle w:val="Header"/>
        <w:spacing w:lineRule="auto" w:line="276"/>
        <w:jc w:val="both"/>
        <w:rPr>
          <w:rFonts w:ascii="Arial" w:hAnsi="Arial" w:cs="Arial"/>
          <w:color w:val="000000"/>
          <w:sz w:val="22"/>
          <w:szCs w:val="22"/>
        </w:rPr>
      </w:pPr>
      <w:r>
        <w:rPr>
          <w:rFonts w:cs="Arial" w:ascii="Arial" w:hAnsi="Arial"/>
          <w:b/>
          <w:bCs/>
          <w:color w:val="000000"/>
          <w:sz w:val="22"/>
          <w:szCs w:val="22"/>
          <w:u w:val="single"/>
        </w:rPr>
        <w:t>Podstawa prawna:</w:t>
      </w:r>
      <w:r>
        <w:rPr>
          <w:rFonts w:cs="Arial" w:ascii="Arial" w:hAnsi="Arial"/>
          <w:color w:val="000000"/>
          <w:sz w:val="22"/>
          <w:szCs w:val="22"/>
        </w:rPr>
        <w:t xml:space="preserve"> ustawa z dnia 13 kwietnia 2022 roku, o szczególnych rozwiązaniach w zakresie przeciwdziałania wspieraniu agresji na Ukrainę oraz służących ochronie bezpieczeństwa narodowego (Dz. U. z 2022 roku poz. 835).</w:t>
      </w:r>
    </w:p>
    <w:p>
      <w:pPr>
        <w:pStyle w:val="Textbody"/>
        <w:tabs>
          <w:tab w:val="clear" w:pos="709"/>
          <w:tab w:val="left" w:pos="284" w:leader="none"/>
        </w:tabs>
        <w:spacing w:lineRule="auto" w:line="276"/>
        <w:ind w:hanging="0" w:end="-1"/>
        <w:jc w:val="both"/>
        <w:rPr>
          <w:rFonts w:ascii="Arial" w:hAnsi="Arial" w:cs="Arial"/>
          <w:b/>
          <w:bCs/>
          <w:sz w:val="22"/>
          <w:szCs w:val="22"/>
        </w:rPr>
      </w:pPr>
      <w:r>
        <w:rPr>
          <w:rFonts w:cs="Arial" w:ascii="Arial" w:hAnsi="Arial"/>
          <w:b/>
          <w:bCs/>
          <w:sz w:val="22"/>
          <w:szCs w:val="22"/>
        </w:rPr>
      </w:r>
    </w:p>
    <w:p>
      <w:pPr>
        <w:pStyle w:val="Textbody"/>
        <w:pBdr>
          <w:top w:val="single" w:sz="4" w:space="1" w:color="000000"/>
          <w:left w:val="single" w:sz="4" w:space="4" w:color="000000"/>
          <w:bottom w:val="single" w:sz="4" w:space="1" w:color="000000"/>
          <w:right w:val="single" w:sz="4" w:space="4" w:color="000000"/>
        </w:pBdr>
        <w:shd w:val="clear" w:color="auto" w:fill="D9D9D9"/>
        <w:tabs>
          <w:tab w:val="clear" w:pos="709"/>
          <w:tab w:val="left" w:pos="852" w:leader="none"/>
        </w:tabs>
        <w:spacing w:lineRule="auto" w:line="276"/>
        <w:ind w:hanging="284" w:start="284" w:end="-1"/>
        <w:rPr>
          <w:rFonts w:ascii="Arial" w:hAnsi="Arial" w:cs="Arial"/>
          <w:sz w:val="22"/>
          <w:szCs w:val="22"/>
        </w:rPr>
      </w:pPr>
      <w:r>
        <w:rPr>
          <w:rFonts w:cs="Arial" w:ascii="Arial" w:hAnsi="Arial"/>
          <w:b/>
          <w:bCs/>
          <w:sz w:val="22"/>
          <w:szCs w:val="22"/>
        </w:rPr>
        <w:t>ROZDZIAŁ VIII</w:t>
      </w:r>
      <w:r>
        <w:rPr>
          <w:rFonts w:cs="Arial" w:ascii="Arial" w:hAnsi="Arial"/>
          <w:sz w:val="22"/>
          <w:szCs w:val="22"/>
        </w:rPr>
        <w:t xml:space="preserve">  - INFORMACJE O PODMIOTOWYCH ŚRODKACH DOWODOWYCH</w:t>
      </w:r>
    </w:p>
    <w:p>
      <w:pPr>
        <w:pStyle w:val="ListParagraph"/>
        <w:numPr>
          <w:ilvl w:val="0"/>
          <w:numId w:val="66"/>
        </w:numPr>
        <w:spacing w:before="60" w:after="60"/>
        <w:ind w:hanging="284" w:start="284"/>
        <w:jc w:val="both"/>
        <w:rPr>
          <w:rFonts w:ascii="Arial" w:hAnsi="Arial" w:cs="Arial"/>
        </w:rPr>
      </w:pPr>
      <w:r>
        <w:rPr>
          <w:rFonts w:cs="Arial" w:ascii="Arial" w:hAnsi="Arial"/>
        </w:rPr>
        <w:t xml:space="preserve"> </w:t>
      </w:r>
      <w:r>
        <w:rPr>
          <w:rFonts w:cs="Arial" w:ascii="Arial" w:hAnsi="Arial"/>
        </w:rPr>
        <w:t>Podmiotowe środki dowodowe, aktualne  na dzień złożenia Zamawiający żąda:</w:t>
      </w:r>
    </w:p>
    <w:p>
      <w:pPr>
        <w:pStyle w:val="Standard"/>
        <w:numPr>
          <w:ilvl w:val="0"/>
          <w:numId w:val="67"/>
        </w:numPr>
        <w:spacing w:lineRule="auto" w:line="276" w:before="0" w:after="60"/>
        <w:ind w:hanging="357" w:start="641"/>
        <w:jc w:val="both"/>
        <w:rPr>
          <w:rFonts w:ascii="Arial" w:hAnsi="Arial" w:cs="Arial"/>
          <w:sz w:val="22"/>
          <w:szCs w:val="22"/>
        </w:rPr>
      </w:pPr>
      <w:r>
        <w:rPr>
          <w:rFonts w:cs="Arial" w:ascii="Arial" w:hAnsi="Arial"/>
          <w:bCs/>
          <w:color w:val="000000"/>
          <w:sz w:val="22"/>
          <w:szCs w:val="22"/>
        </w:rPr>
        <w:t xml:space="preserve">oświadczenia Wykonawcy o aktualności informacji zawartych w oświadczeniu, </w:t>
        <w:br/>
        <w:t xml:space="preserve">o którym mowa w art. 125 ust. 1 ustawy Pzp </w:t>
      </w:r>
      <w:r>
        <w:rPr>
          <w:rFonts w:cs="Arial" w:ascii="Arial" w:hAnsi="Arial"/>
          <w:bCs/>
          <w:color w:val="000000"/>
          <w:sz w:val="22"/>
          <w:szCs w:val="22"/>
          <w:shd w:fill="auto" w:val="clear"/>
        </w:rPr>
        <w:t xml:space="preserve">– zgodnie z </w:t>
      </w:r>
      <w:r>
        <w:rPr>
          <w:rFonts w:cs="Arial" w:ascii="Arial" w:hAnsi="Arial"/>
          <w:b/>
          <w:color w:val="000000"/>
          <w:sz w:val="22"/>
          <w:szCs w:val="22"/>
          <w:shd w:fill="auto" w:val="clear"/>
        </w:rPr>
        <w:t>załącznikiem nr 5 do SWZ</w:t>
      </w:r>
      <w:r>
        <w:rPr>
          <w:rFonts w:cs="Arial" w:ascii="Arial" w:hAnsi="Arial"/>
          <w:color w:val="000000"/>
          <w:sz w:val="22"/>
          <w:szCs w:val="22"/>
          <w:shd w:fill="auto" w:val="clear"/>
        </w:rPr>
        <w:t>;</w:t>
      </w:r>
    </w:p>
    <w:p>
      <w:pPr>
        <w:pStyle w:val="Standard"/>
        <w:spacing w:lineRule="auto" w:line="276" w:before="60" w:after="60"/>
        <w:ind w:hanging="0"/>
        <w:jc w:val="both"/>
        <w:rPr>
          <w:rFonts w:ascii="Arial" w:hAnsi="Arial" w:cs="Arial"/>
          <w:bCs/>
          <w:sz w:val="22"/>
          <w:szCs w:val="22"/>
        </w:rPr>
      </w:pPr>
      <w:r>
        <w:rPr>
          <w:rFonts w:cs="Arial" w:ascii="Arial" w:hAnsi="Arial"/>
          <w:bCs/>
          <w:sz w:val="22"/>
          <w:szCs w:val="22"/>
        </w:rPr>
      </w:r>
    </w:p>
    <w:p>
      <w:pPr>
        <w:pStyle w:val="Standard"/>
        <w:numPr>
          <w:ilvl w:val="0"/>
          <w:numId w:val="68"/>
        </w:numPr>
        <w:spacing w:lineRule="auto" w:line="276" w:before="60" w:after="60"/>
        <w:ind w:hanging="283" w:start="567"/>
        <w:jc w:val="both"/>
        <w:rPr>
          <w:rFonts w:ascii="Arial" w:hAnsi="Arial" w:cs="Arial"/>
          <w:bCs/>
          <w:sz w:val="22"/>
          <w:szCs w:val="22"/>
        </w:rPr>
      </w:pPr>
      <w:r>
        <w:rPr>
          <w:rFonts w:cs="Arial" w:ascii="Arial" w:hAnsi="Arial"/>
          <w:sz w:val="22"/>
          <w:szCs w:val="22"/>
        </w:rPr>
        <w:t xml:space="preserve">aktualnej koncesji na wykonywanie działalności gospodarczej w zakresie obrotu paliwami ciekłymi wydana przez Prezesa Urzędu Regulacji Energetyki zgodnie z ustawą z dnia 10 kwietnia 1997 r. Prawo energetyczne </w:t>
      </w:r>
      <w:r>
        <w:rPr>
          <w:rFonts w:cs="Arial" w:ascii="Arial" w:hAnsi="Arial"/>
          <w:sz w:val="22"/>
          <w:szCs w:val="22"/>
          <w:u w:val="single"/>
        </w:rPr>
        <w:t>(</w:t>
      </w:r>
      <w:r>
        <w:rPr>
          <w:rFonts w:cs="Arial" w:ascii="Arial" w:hAnsi="Arial"/>
          <w:sz w:val="22"/>
          <w:szCs w:val="22"/>
        </w:rPr>
        <w:t>Dz. U. z 2022 r. poz. 1385, 1723, 2127, 2243, 2370, 2687, z 2023 r. poz. 295.)</w:t>
      </w:r>
    </w:p>
    <w:p>
      <w:pPr>
        <w:pStyle w:val="ListParagraph"/>
        <w:numPr>
          <w:ilvl w:val="0"/>
          <w:numId w:val="69"/>
        </w:numPr>
        <w:spacing w:before="60" w:after="60"/>
        <w:ind w:hanging="284" w:start="284"/>
        <w:jc w:val="both"/>
        <w:rPr>
          <w:rFonts w:ascii="Arial" w:hAnsi="Arial" w:cs="Arial"/>
        </w:rPr>
      </w:pPr>
      <w:r>
        <w:rPr>
          <w:rFonts w:cs="Arial" w:ascii="Arial" w:hAnsi="Arial"/>
          <w:bCs/>
          <w:iCs/>
          <w:color w:val="000000"/>
        </w:rPr>
        <w:t>Złożone</w:t>
      </w:r>
      <w:r>
        <w:rPr>
          <w:rFonts w:cs="Arial" w:ascii="Arial" w:hAnsi="Arial"/>
          <w:spacing w:val="-4"/>
        </w:rPr>
        <w:t xml:space="preserve"> oświadczenia i dokumenty muszą być aktualne na dzień ich złożenia (art. 128 </w:t>
        <w:br/>
        <w:t>ust. 2 ustawy Pzp).</w:t>
      </w:r>
    </w:p>
    <w:p>
      <w:pPr>
        <w:pStyle w:val="ListParagraph"/>
        <w:numPr>
          <w:ilvl w:val="0"/>
          <w:numId w:val="70"/>
        </w:numPr>
        <w:spacing w:before="60" w:after="60"/>
        <w:ind w:hanging="284" w:start="284"/>
        <w:jc w:val="both"/>
        <w:rPr>
          <w:rFonts w:ascii="Arial" w:hAnsi="Arial" w:cs="Arial"/>
          <w:bCs/>
          <w:iCs/>
          <w:color w:val="000000"/>
        </w:rPr>
      </w:pPr>
      <w:r>
        <w:rPr>
          <w:rFonts w:cs="Arial" w:ascii="Arial" w:hAnsi="Arial"/>
          <w:bCs/>
          <w:iCs/>
          <w:color w:val="000000"/>
        </w:rPr>
        <w:t>Zamawiający nie wzywa do złożenia podmiotowych środków dowodowych, jeżeli:</w:t>
      </w:r>
    </w:p>
    <w:p>
      <w:pPr>
        <w:pStyle w:val="ListParagraph"/>
        <w:numPr>
          <w:ilvl w:val="0"/>
          <w:numId w:val="9"/>
        </w:numPr>
        <w:spacing w:before="60" w:after="60"/>
        <w:ind w:hanging="357" w:start="714"/>
        <w:jc w:val="both"/>
        <w:rPr>
          <w:rFonts w:ascii="Arial" w:hAnsi="Arial" w:cs="Arial"/>
        </w:rPr>
      </w:pPr>
      <w:r>
        <w:rPr>
          <w:rFonts w:cs="Arial" w:ascii="Arial" w:hAnsi="Arial"/>
        </w:rPr>
        <w:t xml:space="preserve">może je uzyskać za pomocą bezpłatnych i ogólnodostępnych baz danych, </w:t>
        <w:br/>
        <w:t>w szczególności rejestrów publicznych w rozumieniu ustawy z dnia 17 lutego    2005r. o informatyzacji działalności podmiotów realizujących zadania publiczne, o ile wykonawca wskazał w oświadczeniu, o którym mowa w art. 125 ust. 1 ustawy Pzp dane umożliwiające dostęp do tych środków;</w:t>
      </w:r>
    </w:p>
    <w:p>
      <w:pPr>
        <w:pStyle w:val="ListParagraph"/>
        <w:numPr>
          <w:ilvl w:val="0"/>
          <w:numId w:val="71"/>
        </w:numPr>
        <w:spacing w:before="60" w:after="60"/>
        <w:ind w:hanging="357" w:start="714"/>
        <w:jc w:val="both"/>
        <w:rPr>
          <w:rFonts w:ascii="Arial" w:hAnsi="Arial" w:cs="Arial"/>
        </w:rPr>
      </w:pPr>
      <w:r>
        <w:rPr>
          <w:rFonts w:cs="Arial" w:ascii="Arial" w:hAnsi="Arial"/>
        </w:rPr>
        <w:t>podmiotowym środkiem dowodowym jest oświadczenie, którego treść odpowiada zakresowi oświadczenia, o którym mowa w art. 125 ust. 1 ustawy Pzp.</w:t>
      </w:r>
    </w:p>
    <w:p>
      <w:pPr>
        <w:pStyle w:val="ListParagraph"/>
        <w:numPr>
          <w:ilvl w:val="0"/>
          <w:numId w:val="72"/>
        </w:numPr>
        <w:spacing w:before="60" w:after="60"/>
        <w:ind w:hanging="357" w:start="357"/>
        <w:jc w:val="both"/>
        <w:rPr>
          <w:rFonts w:ascii="Arial" w:hAnsi="Arial" w:cs="Arial"/>
        </w:rPr>
      </w:pPr>
      <w:r>
        <w:rPr>
          <w:rFonts w:cs="Arial" w:ascii="Arial" w:hAnsi="Arial"/>
        </w:rPr>
        <w:t xml:space="preserve">Wykonawca nie jest obowiązany do złożenia podmiotowych środków dowodowych, które Zamawiający posiada tylko wówczas, gdy wskaże te środki Zamawiającemu oraz potwierdzi ich prawidłowość i aktualność </w:t>
      </w:r>
      <w:r>
        <w:rPr>
          <w:rFonts w:cs="Arial" w:ascii="Arial" w:hAnsi="Arial"/>
          <w:b/>
          <w:bCs/>
          <w:u w:val="single"/>
        </w:rPr>
        <w:t>w formularzu ofertowym</w:t>
      </w:r>
      <w:r>
        <w:rPr>
          <w:rFonts w:cs="Arial" w:ascii="Arial" w:hAnsi="Arial"/>
        </w:rPr>
        <w:t xml:space="preserve"> (art. 127 ust. 2 ustawy Pzp).</w:t>
      </w:r>
    </w:p>
    <w:p>
      <w:pPr>
        <w:pStyle w:val="ListParagraph"/>
        <w:numPr>
          <w:ilvl w:val="0"/>
          <w:numId w:val="73"/>
        </w:numPr>
        <w:spacing w:before="60" w:after="60"/>
        <w:jc w:val="both"/>
        <w:rPr>
          <w:rFonts w:ascii="Arial" w:hAnsi="Arial" w:cs="Arial"/>
        </w:rPr>
      </w:pPr>
      <w:r>
        <w:rPr>
          <w:rFonts w:cs="Arial" w:ascii="Arial" w:hAnsi="Arial"/>
        </w:rPr>
        <w:t>Jeżeli Wykonawca ma siedzibę lub miejsce zamieszkania poza terytorium Rzeczypospolitej Polskiej, zamiast dokumentu, o którym mowa w ust. 1 pkt 5),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pPr>
        <w:pStyle w:val="ListParagraph"/>
        <w:numPr>
          <w:ilvl w:val="0"/>
          <w:numId w:val="74"/>
        </w:numPr>
        <w:spacing w:before="60" w:after="60"/>
        <w:ind w:hanging="357" w:start="357"/>
        <w:jc w:val="both"/>
        <w:rPr>
          <w:rFonts w:ascii="Arial" w:hAnsi="Arial" w:cs="Arial"/>
        </w:rPr>
      </w:pPr>
      <w:r>
        <w:rPr>
          <w:rFonts w:cs="Arial" w:ascii="Arial" w:hAnsi="Arial"/>
        </w:rPr>
        <w:t>Jeżeli w kraju, w którym Wykonawca ma siedzibę lub miejsce zamieszkania, nie wydaje się dokumentu, o którym mowa w ust. 1 pkt 5),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pPr>
        <w:pStyle w:val="ListParagraph"/>
        <w:numPr>
          <w:ilvl w:val="0"/>
          <w:numId w:val="75"/>
        </w:numPr>
        <w:spacing w:before="60" w:after="60"/>
        <w:ind w:hanging="357" w:start="357"/>
        <w:jc w:val="both"/>
        <w:rPr>
          <w:rFonts w:ascii="Arial" w:hAnsi="Arial" w:cs="Arial"/>
        </w:rPr>
      </w:pPr>
      <w:r>
        <w:rPr>
          <w:rFonts w:cs="Arial" w:ascii="Arial" w:hAnsi="Arial"/>
        </w:rPr>
        <w:t xml:space="preserve">W zakresie nieuregulowanym ustawą Pzp lub niniejszą SWZ do oświadczeń </w:t>
        <w:br/>
        <w:t xml:space="preserve">i dokumentów składanych przez Wykonawcę w postępowaniu zastosowanie mają </w:t>
        <w:br/>
        <w:t>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pPr>
        <w:pStyle w:val="Standard"/>
        <w:numPr>
          <w:ilvl w:val="0"/>
          <w:numId w:val="76"/>
        </w:numPr>
        <w:spacing w:lineRule="auto" w:line="276" w:before="60" w:after="60"/>
        <w:ind w:hanging="284" w:start="284"/>
        <w:jc w:val="both"/>
        <w:rPr>
          <w:rFonts w:ascii="Arial" w:hAnsi="Arial" w:cs="Arial"/>
          <w:bCs/>
          <w:iCs/>
          <w:sz w:val="22"/>
          <w:szCs w:val="22"/>
        </w:rPr>
      </w:pPr>
      <w:r>
        <w:rPr>
          <w:rFonts w:cs="Arial" w:ascii="Arial" w:hAnsi="Arial"/>
          <w:bCs/>
          <w:iCs/>
          <w:sz w:val="22"/>
          <w:szCs w:val="22"/>
        </w:rPr>
        <w:t xml:space="preserve">Jeżeli jest to niezbędne do zapewnienia odpowiedniego przebiegu postępowania </w:t>
        <w:br/>
        <w:t>o udzielenie zamówienia, zamawiający może na każdym etapie postępowania, w tym niezwłocznie po złożeniu ofert, wezwać wykonawców do złożenia wszystkich lub niektórych podmiotowych środków dowodowych, jeżeli wymagał ich złożenia w ogłoszeniu o zamówieniu lub dokumentach zamówienia, aktualnych na dzień ich złożenia (art. 274 ust 2 ustawy Pzp).</w:t>
      </w:r>
    </w:p>
    <w:p>
      <w:pPr>
        <w:pStyle w:val="Standard"/>
        <w:spacing w:lineRule="auto" w:line="276"/>
        <w:jc w:val="both"/>
        <w:rPr>
          <w:rFonts w:ascii="Arial" w:hAnsi="Arial" w:cs="Arial"/>
          <w:b/>
          <w:iCs/>
          <w:sz w:val="22"/>
          <w:szCs w:val="22"/>
        </w:rPr>
      </w:pPr>
      <w:r>
        <w:rPr>
          <w:rFonts w:cs="Arial" w:ascii="Arial" w:hAnsi="Arial"/>
          <w:b/>
          <w:iCs/>
          <w:sz w:val="22"/>
          <w:szCs w:val="22"/>
        </w:rPr>
      </w:r>
    </w:p>
    <w:p>
      <w:pPr>
        <w:pStyle w:val="Standard"/>
        <w:spacing w:lineRule="auto" w:line="276"/>
        <w:jc w:val="both"/>
        <w:rPr>
          <w:rFonts w:ascii="Arial" w:hAnsi="Arial" w:cs="Arial"/>
          <w:b/>
          <w:iCs/>
          <w:sz w:val="22"/>
          <w:szCs w:val="22"/>
        </w:rPr>
      </w:pPr>
      <w:r>
        <w:rPr>
          <w:rFonts w:cs="Arial" w:ascii="Arial" w:hAnsi="Arial"/>
          <w:b/>
          <w:iCs/>
          <w:sz w:val="22"/>
          <w:szCs w:val="22"/>
        </w:rPr>
      </w:r>
    </w:p>
    <w:p>
      <w:pPr>
        <w:pStyle w:val="Standard"/>
        <w:pBdr>
          <w:top w:val="single" w:sz="4" w:space="1" w:color="000000"/>
          <w:left w:val="single" w:sz="4" w:space="4" w:color="000000"/>
          <w:bottom w:val="single" w:sz="4" w:space="1" w:color="000000"/>
          <w:right w:val="single" w:sz="4" w:space="4" w:color="000000"/>
        </w:pBdr>
        <w:shd w:val="clear" w:color="auto" w:fill="D9D9D9"/>
        <w:spacing w:lineRule="auto" w:line="276"/>
        <w:rPr>
          <w:rFonts w:ascii="Arial" w:hAnsi="Arial" w:cs="Arial"/>
          <w:sz w:val="22"/>
          <w:szCs w:val="22"/>
        </w:rPr>
      </w:pPr>
      <w:r>
        <w:rPr>
          <w:rFonts w:cs="Arial" w:ascii="Arial" w:hAnsi="Arial"/>
          <w:b/>
          <w:iCs/>
          <w:sz w:val="22"/>
          <w:szCs w:val="22"/>
        </w:rPr>
        <w:t xml:space="preserve">ROZDZIAŁ IX - </w:t>
      </w:r>
      <w:r>
        <w:rPr>
          <w:rFonts w:cs="Arial" w:ascii="Arial" w:hAnsi="Arial"/>
          <w:b/>
          <w:bCs/>
          <w:iCs/>
          <w:sz w:val="22"/>
          <w:szCs w:val="22"/>
        </w:rPr>
        <w:t>INFORMACJA O PRZEDMIOTOWYCH ŚRODKACH DOWODOWYCH</w:t>
      </w:r>
    </w:p>
    <w:p>
      <w:pPr>
        <w:pStyle w:val="Textbody"/>
        <w:tabs>
          <w:tab w:val="clear" w:pos="709"/>
          <w:tab w:val="left" w:pos="284" w:leader="none"/>
        </w:tabs>
        <w:spacing w:lineRule="auto" w:line="276" w:before="60" w:after="60"/>
        <w:ind w:hanging="0" w:end="-1"/>
        <w:jc w:val="both"/>
        <w:rPr>
          <w:rFonts w:ascii="Arial" w:hAnsi="Arial" w:cs="Arial"/>
          <w:sz w:val="22"/>
          <w:szCs w:val="22"/>
        </w:rPr>
      </w:pPr>
      <w:r>
        <w:rPr>
          <w:rFonts w:cs="Arial" w:ascii="Arial" w:hAnsi="Arial"/>
          <w:sz w:val="22"/>
          <w:szCs w:val="22"/>
        </w:rPr>
      </w:r>
    </w:p>
    <w:p>
      <w:pPr>
        <w:pStyle w:val="BodyText"/>
        <w:tabs>
          <w:tab w:val="clear" w:pos="709"/>
          <w:tab w:val="left" w:pos="284" w:leader="none"/>
        </w:tabs>
        <w:bidi w:val="0"/>
        <w:spacing w:lineRule="auto" w:line="276" w:before="60" w:after="60"/>
        <w:ind w:hanging="0" w:end="-1"/>
        <w:jc w:val="both"/>
        <w:rPr>
          <w:rFonts w:ascii="Arial" w:hAnsi="Arial" w:cs="Arial"/>
          <w:sz w:val="22"/>
          <w:szCs w:val="22"/>
        </w:rPr>
      </w:pPr>
      <w:r>
        <w:rPr>
          <w:rFonts w:cs="Arial" w:ascii="Arial" w:hAnsi="Arial"/>
          <w:sz w:val="22"/>
          <w:szCs w:val="22"/>
        </w:rPr>
        <w:t xml:space="preserve">Zamawiający </w:t>
      </w:r>
      <w:r>
        <w:rPr>
          <w:rFonts w:cs="Arial" w:ascii="Arial" w:hAnsi="Arial"/>
          <w:sz w:val="22"/>
          <w:szCs w:val="22"/>
          <w:u w:val="single"/>
        </w:rPr>
        <w:t>nie wymaga</w:t>
      </w:r>
      <w:r>
        <w:rPr>
          <w:rFonts w:cs="Arial" w:ascii="Arial" w:hAnsi="Arial"/>
          <w:sz w:val="22"/>
          <w:szCs w:val="22"/>
        </w:rPr>
        <w:t xml:space="preserve"> od Wykonawcy złożenia wraz z ofertą przedmiotowych środków dowodowych.</w:t>
      </w:r>
    </w:p>
    <w:p>
      <w:pPr>
        <w:pStyle w:val="ListParagraph"/>
        <w:numPr>
          <w:ilvl w:val="0"/>
          <w:numId w:val="11"/>
        </w:numPr>
        <w:tabs>
          <w:tab w:val="clear" w:pos="709"/>
          <w:tab w:val="decimal" w:pos="9356" w:leader="dot"/>
        </w:tabs>
        <w:spacing w:lineRule="auto" w:line="276" w:before="0" w:after="0"/>
        <w:ind w:hanging="284" w:start="284"/>
        <w:contextualSpacing/>
        <w:jc w:val="both"/>
        <w:rPr>
          <w:rFonts w:cs="Arial" w:cstheme="minorHAnsi"/>
        </w:rPr>
      </w:pPr>
      <w:r>
        <w:rPr>
          <w:rFonts w:cs="Arial" w:cstheme="minorHAnsi"/>
          <w:b w:val="false"/>
          <w:bCs w:val="false"/>
          <w:sz w:val="21"/>
          <w:szCs w:val="21"/>
        </w:rPr>
        <w:t>Wykonawca może powierzyć wykonanie części zamówienia podwykonawcy (podwykonawcom).</w:t>
      </w:r>
    </w:p>
    <w:p>
      <w:pPr>
        <w:pStyle w:val="ListParagraph"/>
        <w:numPr>
          <w:ilvl w:val="0"/>
          <w:numId w:val="11"/>
        </w:numPr>
        <w:tabs>
          <w:tab w:val="clear" w:pos="709"/>
          <w:tab w:val="decimal" w:pos="9356" w:leader="dot"/>
        </w:tabs>
        <w:spacing w:lineRule="auto" w:line="276" w:before="0" w:after="0"/>
        <w:ind w:hanging="284" w:start="284"/>
        <w:contextualSpacing/>
        <w:jc w:val="both"/>
        <w:rPr>
          <w:rFonts w:cs="Arial" w:cstheme="minorHAnsi"/>
          <w:b/>
          <w:bCs/>
        </w:rPr>
      </w:pPr>
      <w:r>
        <w:rPr>
          <w:rFonts w:cs="Arial" w:cstheme="minorHAnsi"/>
          <w:b w:val="false"/>
          <w:bCs w:val="false"/>
          <w:sz w:val="21"/>
          <w:szCs w:val="21"/>
        </w:rPr>
        <w:t>Zamawiający nie zastrzega obowiązku osobistego wykonania przez Wykonawcę kluczowych części zamówienia.</w:t>
      </w:r>
    </w:p>
    <w:p>
      <w:pPr>
        <w:pStyle w:val="ListParagraph"/>
        <w:numPr>
          <w:ilvl w:val="0"/>
          <w:numId w:val="11"/>
        </w:numPr>
        <w:tabs>
          <w:tab w:val="clear" w:pos="709"/>
          <w:tab w:val="decimal" w:pos="9356" w:leader="dot"/>
        </w:tabs>
        <w:spacing w:lineRule="auto" w:line="276" w:before="0" w:after="0"/>
        <w:ind w:hanging="284" w:start="284"/>
        <w:contextualSpacing/>
        <w:jc w:val="both"/>
        <w:rPr>
          <w:rFonts w:cs="Arial" w:cstheme="minorHAnsi"/>
        </w:rPr>
      </w:pPr>
      <w:r>
        <w:rPr>
          <w:rFonts w:cs="Arial" w:ascii="Arial" w:hAnsi="Arial" w:cstheme="minorHAnsi"/>
          <w:b w:val="false"/>
          <w:bCs w:val="false"/>
          <w:sz w:val="21"/>
          <w:szCs w:val="21"/>
        </w:rPr>
        <w:t>Zamawiający wymaga, aby w przypadku powierzenia części zamówienia podwykonawcom, Wykonawca wskazał w ofercie w ofercie część zamówienia, których wykonanie zamierza powierzyć podwykonawcom oraz podał (o ile są mu wiadome na tym etapie) nazwy (firmy) tych podwykonawców.</w:t>
      </w:r>
    </w:p>
    <w:p>
      <w:pPr>
        <w:pStyle w:val="Standard"/>
        <w:spacing w:lineRule="auto" w:line="276"/>
        <w:jc w:val="start"/>
        <w:rPr>
          <w:rFonts w:ascii="Arial" w:hAnsi="Arial" w:cs="Arial"/>
          <w:b/>
          <w:iCs/>
          <w:sz w:val="22"/>
          <w:szCs w:val="22"/>
        </w:rPr>
      </w:pPr>
      <w:r>
        <w:rPr>
          <w:rFonts w:cs="Arial" w:ascii="Arial" w:hAnsi="Arial"/>
          <w:b/>
          <w:iCs/>
          <w:sz w:val="22"/>
          <w:szCs w:val="22"/>
        </w:rPr>
      </w:r>
    </w:p>
    <w:p>
      <w:pPr>
        <w:pStyle w:val="ListParagraph"/>
        <w:widowControl w:val="false"/>
        <w:numPr>
          <w:ilvl w:val="0"/>
          <w:numId w:val="0"/>
        </w:numPr>
        <w:pBdr>
          <w:top w:val="single" w:sz="4" w:space="1" w:color="000000"/>
          <w:left w:val="single" w:sz="4" w:space="4" w:color="000000"/>
          <w:bottom w:val="single" w:sz="4" w:space="1" w:color="000000"/>
          <w:right w:val="single" w:sz="4" w:space="4" w:color="000000"/>
        </w:pBdr>
        <w:shd w:val="clear" w:color="auto" w:fill="D9D9D9"/>
        <w:suppressAutoHyphens w:val="true"/>
        <w:spacing w:lineRule="auto" w:line="240" w:before="0" w:after="0"/>
        <w:ind w:hanging="0" w:start="0"/>
        <w:contextualSpacing/>
        <w:jc w:val="start"/>
        <w:rPr>
          <w:sz w:val="22"/>
          <w:szCs w:val="22"/>
        </w:rPr>
      </w:pPr>
      <w:r>
        <w:rPr>
          <w:rFonts w:eastAsia="Calibri" w:cs="Arial" w:ascii="Arial" w:hAnsi="Arial"/>
          <w:b/>
          <w:bCs/>
          <w:iCs/>
          <w:kern w:val="0"/>
          <w:sz w:val="22"/>
          <w:szCs w:val="22"/>
          <w:lang w:val="pl-PL" w:eastAsia="en-US" w:bidi="ar-SA"/>
        </w:rPr>
        <w:t>ROZDZIAŁ X POLEGANIE NA ZDOLNOŚCIACH EKONOMICZNYCH LUB ZAWODOWYCH LUB SYTUACJI FINANSOWEJ LUB EKONOMICZNEJ PODMIOTÓW UDOSTĘPNIAJĄCYCH ZASOBY</w:t>
      </w:r>
    </w:p>
    <w:p>
      <w:pPr>
        <w:pStyle w:val="Textbody"/>
        <w:tabs>
          <w:tab w:val="clear" w:pos="709"/>
          <w:tab w:val="left" w:pos="284" w:leader="none"/>
        </w:tabs>
        <w:bidi w:val="0"/>
        <w:spacing w:lineRule="auto" w:line="276" w:before="60" w:after="60"/>
        <w:ind w:hanging="0" w:end="-1"/>
        <w:jc w:val="both"/>
        <w:rPr>
          <w:rFonts w:ascii="Arial" w:hAnsi="Arial" w:cs="Arial"/>
          <w:sz w:val="22"/>
          <w:szCs w:val="22"/>
        </w:rPr>
      </w:pPr>
      <w:r>
        <w:rPr>
          <w:rFonts w:cs="Arial" w:ascii="Arial" w:hAnsi="Arial"/>
          <w:sz w:val="22"/>
          <w:szCs w:val="22"/>
        </w:rPr>
      </w:r>
    </w:p>
    <w:p>
      <w:pPr>
        <w:pStyle w:val="Default"/>
        <w:rPr>
          <w:color w:val="auto"/>
        </w:rPr>
      </w:pPr>
      <w:r>
        <w:rPr>
          <w:color w:val="auto"/>
        </w:rPr>
      </w:r>
    </w:p>
    <w:p>
      <w:pPr>
        <w:pStyle w:val="Default"/>
        <w:numPr>
          <w:ilvl w:val="0"/>
          <w:numId w:val="13"/>
        </w:numPr>
        <w:spacing w:lineRule="auto" w:line="276"/>
        <w:ind w:hanging="284" w:start="284"/>
        <w:jc w:val="both"/>
        <w:rPr>
          <w:rFonts w:ascii="Arial" w:hAnsi="Arial" w:cs="Arial" w:asciiTheme="minorHAnsi" w:cstheme="minorHAnsi" w:hAnsiTheme="minorHAnsi"/>
          <w:color w:val="auto"/>
          <w:sz w:val="22"/>
          <w:szCs w:val="22"/>
        </w:rPr>
      </w:pPr>
      <w:r>
        <w:rPr>
          <w:rFonts w:cs="Arial" w:cstheme="minorHAnsi"/>
          <w:color w:val="auto"/>
          <w:sz w:val="22"/>
          <w:szCs w:val="22"/>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pPr>
        <w:pStyle w:val="Default"/>
        <w:numPr>
          <w:ilvl w:val="0"/>
          <w:numId w:val="13"/>
        </w:numPr>
        <w:spacing w:lineRule="auto" w:line="276"/>
        <w:ind w:hanging="284" w:start="284"/>
        <w:jc w:val="both"/>
        <w:rPr>
          <w:rFonts w:ascii="Arial" w:hAnsi="Arial" w:cs="Arial" w:asciiTheme="minorHAnsi" w:cstheme="minorHAnsi" w:hAnsiTheme="minorHAnsi"/>
          <w:color w:val="auto"/>
          <w:sz w:val="22"/>
          <w:szCs w:val="22"/>
        </w:rPr>
      </w:pPr>
      <w:r>
        <w:rPr>
          <w:rFonts w:cs="Arial" w:cstheme="minorHAnsi"/>
          <w:color w:val="auto"/>
          <w:sz w:val="22"/>
          <w:szCs w:val="22"/>
        </w:rPr>
        <w:t>W odniesieniu do warunków dotyczących wykształcenia, kwalifikacji zawodowych lub doświadczenia wykonawcy mogą polegać na zdolnościach podmiotów udostępniających zasoby, jeśli podmioty te wykonają dosta</w:t>
      </w:r>
      <w:r>
        <w:fldChar w:fldCharType="begin"/>
      </w:r>
      <w:r>
        <w:rPr>
          <w:sz w:val="22"/>
          <w:szCs w:val="22"/>
          <w:rFonts w:cs="" w:ascii="Calibri" w:hAnsi="Calibri"/>
          <w:color w:val="auto"/>
        </w:rPr>
        <w:instrText xml:space="preserve">LISTNUM</w:instrText>
      </w:r>
      <w:r>
        <w:rPr>
          <w:rFonts w:cs="" w:ascii="Calibri" w:hAnsi="Calibri"/>
          <w:color w:val="auto"/>
          <w:sz w:val="22"/>
          <w:szCs w:val="22"/>
        </w:rPr>
      </w:r>
      <w:r>
        <w:rPr>
          <w:sz w:val="22"/>
          <w:szCs w:val="22"/>
          <w:rFonts w:cs="" w:ascii="Calibri" w:hAnsi="Calibri"/>
          <w:color w:val="auto"/>
        </w:rPr>
        <w:fldChar w:fldCharType="separate"/>
      </w:r>
      <w:r>
        <w:rPr>
          <w:rFonts w:cs="" w:ascii="Calibri" w:hAnsi="Calibri"/>
          <w:color w:val="auto"/>
          <w:sz w:val="22"/>
          <w:szCs w:val="22"/>
        </w:rPr>
      </w:r>
      <w:r>
        <w:rPr>
          <w:rFonts w:cs="" w:ascii="Calibri" w:hAnsi="Calibri"/>
          <w:color w:val="auto"/>
          <w:sz w:val="22"/>
          <w:szCs w:val="22"/>
        </w:rPr>
      </w:r>
      <w:r>
        <w:rPr>
          <w:sz w:val="22"/>
          <w:szCs w:val="22"/>
          <w:rFonts w:cs="" w:ascii="Calibri" w:hAnsi="Calibri"/>
          <w:color w:val="auto"/>
        </w:rPr>
        <w:fldChar w:fldCharType="end"/>
      </w:r>
      <w:r>
        <w:rPr>
          <w:rFonts w:cs="Arial" w:cstheme="minorHAnsi"/>
          <w:color w:val="auto"/>
          <w:sz w:val="22"/>
          <w:szCs w:val="22"/>
        </w:rPr>
        <w:t xml:space="preserve">wy, do realizacji których te zdolności są wymagane. </w:t>
      </w:r>
    </w:p>
    <w:p>
      <w:pPr>
        <w:pStyle w:val="Default"/>
        <w:numPr>
          <w:ilvl w:val="0"/>
          <w:numId w:val="13"/>
        </w:numPr>
        <w:tabs>
          <w:tab w:val="clear" w:pos="709"/>
          <w:tab w:val="left" w:pos="568" w:leader="none"/>
        </w:tabs>
        <w:spacing w:lineRule="auto" w:line="276"/>
        <w:ind w:hanging="284" w:start="284"/>
        <w:jc w:val="both"/>
        <w:rPr>
          <w:rFonts w:ascii="Arial" w:hAnsi="Arial" w:cs="Arial" w:asciiTheme="minorHAnsi" w:cstheme="minorHAnsi" w:hAnsiTheme="minorHAnsi"/>
          <w:color w:val="auto"/>
          <w:sz w:val="22"/>
          <w:szCs w:val="22"/>
        </w:rPr>
      </w:pPr>
      <w:r>
        <w:rPr>
          <w:rFonts w:cs="Arial" w:cstheme="minorHAnsi"/>
          <w:b w:val="false"/>
          <w:bCs w:val="false"/>
          <w:color w:val="auto"/>
          <w:sz w:val="22"/>
          <w:szCs w:val="22"/>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środekdowodowy potwierdzający, że wykonawca realizując zamówienie, będzie dysponował niezbędnymi zasobami tych podmiotów. </w:t>
      </w:r>
    </w:p>
    <w:p>
      <w:pPr>
        <w:pStyle w:val="Default"/>
        <w:numPr>
          <w:ilvl w:val="0"/>
          <w:numId w:val="13"/>
        </w:numPr>
        <w:spacing w:lineRule="auto" w:line="276"/>
        <w:ind w:hanging="284" w:start="284"/>
        <w:jc w:val="both"/>
        <w:rPr>
          <w:rFonts w:ascii="Arial" w:hAnsi="Arial" w:cs="Arial" w:asciiTheme="minorHAnsi" w:cstheme="minorHAnsi" w:hAnsiTheme="minorHAnsi"/>
          <w:color w:val="auto"/>
          <w:sz w:val="22"/>
          <w:szCs w:val="22"/>
        </w:rPr>
      </w:pPr>
      <w:r>
        <w:rPr>
          <w:rFonts w:cs="Arial" w:cstheme="minorHAnsi"/>
          <w:b w:val="false"/>
          <w:bCs w:val="false"/>
          <w:color w:val="auto"/>
          <w:sz w:val="22"/>
          <w:szCs w:val="22"/>
        </w:rPr>
        <w:t xml:space="preserve">Zobowiązanie podmiotu udostępniającego zasoby, o którym mowa w ust. 3, potwierdza, że stosunek łączący wykonawcę z podmiotami udostępniającymi zasoby gwarantuje rzeczywisty dostęp do tych zasobów oraz określa w szczególności: </w:t>
      </w:r>
    </w:p>
    <w:p>
      <w:pPr>
        <w:pStyle w:val="Default"/>
        <w:numPr>
          <w:ilvl w:val="1"/>
          <w:numId w:val="13"/>
        </w:numPr>
        <w:spacing w:lineRule="auto" w:line="276"/>
        <w:ind w:hanging="283" w:start="567"/>
        <w:jc w:val="both"/>
        <w:rPr>
          <w:rFonts w:ascii="Arial" w:hAnsi="Arial" w:cs="Arial" w:asciiTheme="minorHAnsi" w:cstheme="minorHAnsi" w:hAnsiTheme="minorHAnsi"/>
          <w:color w:val="auto"/>
          <w:sz w:val="22"/>
          <w:szCs w:val="22"/>
        </w:rPr>
      </w:pPr>
      <w:r>
        <w:rPr>
          <w:rFonts w:cs="Arial" w:cstheme="minorHAnsi"/>
          <w:b w:val="false"/>
          <w:bCs w:val="false"/>
          <w:color w:val="auto"/>
          <w:sz w:val="22"/>
          <w:szCs w:val="22"/>
        </w:rPr>
        <w:t xml:space="preserve">zakres dostępnych wykonawcy zasobów podmiotu udostępniającego zasoby; </w:t>
      </w:r>
    </w:p>
    <w:p>
      <w:pPr>
        <w:pStyle w:val="Default"/>
        <w:numPr>
          <w:ilvl w:val="1"/>
          <w:numId w:val="13"/>
        </w:numPr>
        <w:spacing w:lineRule="auto" w:line="276"/>
        <w:ind w:hanging="283" w:start="567"/>
        <w:jc w:val="both"/>
        <w:rPr>
          <w:rFonts w:ascii="Arial" w:hAnsi="Arial" w:cs="Arial" w:asciiTheme="minorHAnsi" w:cstheme="minorHAnsi" w:hAnsiTheme="minorHAnsi"/>
          <w:color w:val="auto"/>
          <w:sz w:val="22"/>
          <w:szCs w:val="22"/>
        </w:rPr>
      </w:pPr>
      <w:r>
        <w:rPr>
          <w:rFonts w:cs="Arial" w:cstheme="minorHAnsi"/>
          <w:b w:val="false"/>
          <w:bCs w:val="false"/>
          <w:color w:val="auto"/>
          <w:sz w:val="22"/>
          <w:szCs w:val="22"/>
        </w:rPr>
        <w:t xml:space="preserve">sposób i okres udostępnienia wykonawcy i wykorzystania przez niego zasobów podmiotu udostępniającego te zasoby przy wykonywaniu zamówienia; </w:t>
      </w:r>
    </w:p>
    <w:p>
      <w:pPr>
        <w:pStyle w:val="Default"/>
        <w:numPr>
          <w:ilvl w:val="1"/>
          <w:numId w:val="13"/>
        </w:numPr>
        <w:spacing w:lineRule="auto" w:line="276"/>
        <w:ind w:hanging="283" w:start="567"/>
        <w:jc w:val="both"/>
        <w:rPr>
          <w:rFonts w:ascii="Arial" w:hAnsi="Arial" w:cs="Arial" w:asciiTheme="minorHAnsi" w:cstheme="minorHAnsi" w:hAnsiTheme="minorHAnsi"/>
          <w:color w:val="auto"/>
          <w:sz w:val="22"/>
          <w:szCs w:val="22"/>
        </w:rPr>
      </w:pPr>
      <w:r>
        <w:rPr>
          <w:rFonts w:cs="Arial" w:cstheme="minorHAnsi"/>
          <w:b w:val="false"/>
          <w:bCs w:val="false"/>
          <w:color w:val="auto"/>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pPr>
        <w:pStyle w:val="Default"/>
        <w:numPr>
          <w:ilvl w:val="0"/>
          <w:numId w:val="13"/>
        </w:numPr>
        <w:spacing w:lineRule="auto" w:line="276"/>
        <w:ind w:hanging="0" w:start="284"/>
        <w:jc w:val="both"/>
        <w:rPr>
          <w:rFonts w:ascii="Arial" w:hAnsi="Arial" w:cs="Arial" w:asciiTheme="minorHAnsi" w:cstheme="minorHAnsi" w:hAnsiTheme="minorHAnsi"/>
          <w:color w:val="auto"/>
          <w:sz w:val="22"/>
          <w:szCs w:val="22"/>
        </w:rPr>
      </w:pPr>
      <w:r>
        <w:rPr>
          <w:rFonts w:cs="Arial" w:cstheme="minorHAnsi"/>
          <w:b w:val="false"/>
          <w:bCs w:val="false"/>
          <w:color w:val="auto"/>
          <w:sz w:val="22"/>
          <w:szCs w:val="22"/>
        </w:rPr>
        <w:t>Wzór zobowiązania podmiotu udostępniającego zasoby stanowi</w:t>
      </w:r>
      <w:r>
        <w:rPr>
          <w:rFonts w:cs="Arial" w:cstheme="minorHAnsi"/>
          <w:b w:val="false"/>
          <w:bCs w:val="false"/>
          <w:color w:val="000000"/>
          <w:sz w:val="22"/>
          <w:szCs w:val="22"/>
          <w:shd w:fill="auto" w:val="clear"/>
        </w:rPr>
        <w:t xml:space="preserve"> Załącznik nr 5 do SWZ. </w:t>
      </w:r>
    </w:p>
    <w:p>
      <w:pPr>
        <w:pStyle w:val="Default"/>
        <w:numPr>
          <w:ilvl w:val="0"/>
          <w:numId w:val="13"/>
        </w:numPr>
        <w:spacing w:lineRule="auto" w:line="276"/>
        <w:ind w:hanging="284" w:start="284"/>
        <w:jc w:val="both"/>
        <w:rPr>
          <w:rFonts w:ascii="Arial" w:hAnsi="Arial" w:cs="Arial" w:asciiTheme="minorHAnsi" w:cstheme="minorHAnsi" w:hAnsiTheme="minorHAnsi"/>
          <w:color w:val="auto"/>
          <w:sz w:val="22"/>
          <w:szCs w:val="22"/>
        </w:rPr>
      </w:pPr>
      <w:r>
        <w:rPr>
          <w:rFonts w:cs="Arial" w:cstheme="minorHAnsi"/>
          <w:b w:val="false"/>
          <w:bCs w:val="false"/>
          <w:color w:val="auto"/>
          <w:sz w:val="22"/>
          <w:szCs w:val="22"/>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pPr>
        <w:pStyle w:val="Default"/>
        <w:numPr>
          <w:ilvl w:val="0"/>
          <w:numId w:val="13"/>
        </w:numPr>
        <w:spacing w:lineRule="auto" w:line="276"/>
        <w:ind w:hanging="284" w:start="284"/>
        <w:jc w:val="both"/>
        <w:rPr>
          <w:rFonts w:ascii="Arial" w:hAnsi="Arial" w:cs="Arial" w:asciiTheme="minorHAnsi" w:cstheme="minorHAnsi" w:hAnsiTheme="minorHAnsi"/>
          <w:color w:val="auto"/>
          <w:sz w:val="22"/>
          <w:szCs w:val="22"/>
        </w:rPr>
      </w:pPr>
      <w:r>
        <w:rPr>
          <w:rFonts w:cs="Arial" w:cstheme="minorHAnsi"/>
          <w:b w:val="false"/>
          <w:bCs w:val="false"/>
          <w:color w:val="auto"/>
          <w:sz w:val="22"/>
          <w:szCs w:val="22"/>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pPr>
        <w:pStyle w:val="Default"/>
        <w:numPr>
          <w:ilvl w:val="0"/>
          <w:numId w:val="13"/>
        </w:numPr>
        <w:spacing w:lineRule="auto" w:line="276"/>
        <w:ind w:hanging="284" w:start="284"/>
        <w:jc w:val="both"/>
        <w:rPr>
          <w:rFonts w:ascii="Arial" w:hAnsi="Arial" w:cs="Arial" w:asciiTheme="minorHAnsi" w:cstheme="minorHAnsi" w:hAnsiTheme="minorHAnsi"/>
          <w:color w:val="auto"/>
          <w:sz w:val="22"/>
          <w:szCs w:val="22"/>
        </w:rPr>
      </w:pPr>
      <w:r>
        <w:rPr>
          <w:rFonts w:cs="Arial" w:cstheme="minorHAnsi"/>
          <w:b w:val="false"/>
          <w:bCs w:val="false"/>
          <w:color w:val="auto"/>
          <w:sz w:val="22"/>
          <w:szCs w:val="22"/>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pPr>
        <w:pStyle w:val="ListParagraph"/>
        <w:widowControl w:val="false"/>
        <w:numPr>
          <w:ilvl w:val="0"/>
          <w:numId w:val="0"/>
        </w:numPr>
        <w:pBdr>
          <w:top w:val="single" w:sz="4" w:space="1" w:color="000000"/>
          <w:left w:val="single" w:sz="4" w:space="4" w:color="000000"/>
          <w:bottom w:val="single" w:sz="4" w:space="1" w:color="000000"/>
          <w:right w:val="single" w:sz="4" w:space="4" w:color="000000"/>
        </w:pBdr>
        <w:shd w:val="clear" w:color="auto" w:fill="D9D9D9"/>
        <w:tabs>
          <w:tab w:val="clear" w:pos="709"/>
          <w:tab w:val="left" w:pos="284" w:leader="none"/>
        </w:tabs>
        <w:suppressAutoHyphens w:val="true"/>
        <w:spacing w:lineRule="auto" w:line="240" w:before="0" w:after="0"/>
        <w:ind w:hanging="0" w:start="0"/>
        <w:contextualSpacing/>
        <w:jc w:val="both"/>
        <w:rPr>
          <w:sz w:val="22"/>
          <w:szCs w:val="22"/>
        </w:rPr>
      </w:pPr>
      <w:r>
        <w:rPr>
          <w:rFonts w:eastAsia="Calibri" w:cs="Arial" w:ascii="Arial" w:hAnsi="Arial" w:cstheme="minorHAnsi"/>
          <w:b/>
          <w:bCs/>
          <w:iCs/>
          <w:color w:val="000000"/>
          <w:kern w:val="0"/>
          <w:sz w:val="22"/>
          <w:szCs w:val="22"/>
          <w:shd w:fill="auto" w:val="clear"/>
          <w:lang w:val="pl-PL" w:eastAsia="en-US" w:bidi="ar-SA"/>
        </w:rPr>
        <w:t>ROZDZIAŁ XI WYKONAWCY WSPÓLNIE UBIEGAJĄCY SIĘ O UDZIELENIE ZAMÓWIENIA ORAZ INFORMACJE DOTYCZĄCE SKŁADANIA PEŁNOMOCNICTWA LUB INNEGO DOKUMENTU POTWIERDZAJĄCEGO UMOCOWANIE DO REPREZENTOWANIA WYKONAWCY</w:t>
      </w:r>
    </w:p>
    <w:p>
      <w:pPr>
        <w:pStyle w:val="Textbody"/>
        <w:numPr>
          <w:ilvl w:val="0"/>
          <w:numId w:val="0"/>
        </w:numPr>
        <w:tabs>
          <w:tab w:val="clear" w:pos="709"/>
          <w:tab w:val="left" w:pos="284" w:leader="none"/>
        </w:tabs>
        <w:spacing w:lineRule="auto" w:line="276" w:before="60" w:after="60"/>
        <w:ind w:hanging="0" w:start="0" w:end="-1"/>
        <w:jc w:val="both"/>
        <w:rPr>
          <w:rFonts w:ascii="Arial" w:hAnsi="Arial" w:cs="Arial"/>
          <w:sz w:val="22"/>
          <w:szCs w:val="22"/>
        </w:rPr>
      </w:pPr>
      <w:r>
        <w:rPr>
          <w:rFonts w:cs="Arial" w:ascii="Arial" w:hAnsi="Arial"/>
          <w:sz w:val="22"/>
          <w:szCs w:val="22"/>
        </w:rPr>
      </w:r>
    </w:p>
    <w:p>
      <w:pPr>
        <w:pStyle w:val="Normal"/>
        <w:numPr>
          <w:ilvl w:val="0"/>
          <w:numId w:val="14"/>
        </w:numPr>
        <w:tabs>
          <w:tab w:val="clear" w:pos="709"/>
          <w:tab w:val="left" w:pos="568" w:leader="none"/>
        </w:tabs>
        <w:bidi w:val="0"/>
        <w:spacing w:lineRule="auto" w:line="276" w:before="0" w:after="0"/>
        <w:ind w:hanging="284" w:start="284"/>
        <w:jc w:val="both"/>
        <w:rPr>
          <w:rFonts w:eastAsia="Times New Roman" w:cs="Arial" w:cstheme="minorHAnsi"/>
          <w:sz w:val="20"/>
          <w:szCs w:val="20"/>
          <w:lang w:eastAsia="pl-PL"/>
        </w:rPr>
      </w:pPr>
      <w:r>
        <w:rPr>
          <w:rFonts w:eastAsia="Times New Roman" w:cs="Arial" w:cstheme="minorHAnsi"/>
          <w:lang w:eastAsia="pl-PL"/>
        </w:rPr>
        <w:t xml:space="preserve">Wykonawcy mogą wspólnie ubiegać się o udzielenie zamówienia. </w:t>
      </w:r>
    </w:p>
    <w:p>
      <w:pPr>
        <w:pStyle w:val="Normal"/>
        <w:numPr>
          <w:ilvl w:val="0"/>
          <w:numId w:val="14"/>
        </w:numPr>
        <w:tabs>
          <w:tab w:val="clear" w:pos="709"/>
          <w:tab w:val="left" w:pos="568" w:leader="none"/>
        </w:tabs>
        <w:bidi w:val="0"/>
        <w:spacing w:lineRule="auto" w:line="276" w:before="0" w:after="0"/>
        <w:ind w:hanging="284" w:start="284"/>
        <w:jc w:val="both"/>
        <w:rPr>
          <w:rFonts w:eastAsia="Times New Roman" w:cs="Arial" w:cstheme="minorHAnsi"/>
          <w:sz w:val="20"/>
          <w:szCs w:val="20"/>
          <w:lang w:eastAsia="pl-PL"/>
        </w:rPr>
      </w:pPr>
      <w:r>
        <w:rPr>
          <w:rFonts w:eastAsia="Times New Roman" w:cs="Arial" w:cstheme="minorHAnsi"/>
          <w:lang w:eastAsia="pl-PL"/>
        </w:rPr>
        <w:t>W przypadku o którym mowa w ust. 1, wykonawcy ustanawiają pełnomocnika do reprezentowania ich w postępowaniu o udzielenie zamówienia albo do reprezentowania w postępowaniu i zawarcia umowy w sprawie zamówienia publicznego.</w:t>
      </w:r>
    </w:p>
    <w:p>
      <w:pPr>
        <w:pStyle w:val="Normal"/>
        <w:numPr>
          <w:ilvl w:val="0"/>
          <w:numId w:val="14"/>
        </w:numPr>
        <w:tabs>
          <w:tab w:val="clear" w:pos="709"/>
          <w:tab w:val="left" w:pos="568" w:leader="none"/>
        </w:tabs>
        <w:bidi w:val="0"/>
        <w:spacing w:lineRule="auto" w:line="276" w:before="0" w:after="0"/>
        <w:ind w:hanging="284" w:start="284"/>
        <w:jc w:val="both"/>
        <w:rPr>
          <w:rFonts w:eastAsia="Times New Roman" w:cs="Arial" w:cstheme="minorHAnsi"/>
          <w:sz w:val="20"/>
          <w:szCs w:val="20"/>
          <w:lang w:eastAsia="pl-PL"/>
        </w:rPr>
      </w:pPr>
      <w:r>
        <w:rPr>
          <w:rFonts w:eastAsia="Times New Roman" w:cs="Arial" w:cstheme="minorHAnsi"/>
          <w:lang w:eastAsia="pl-PL"/>
        </w:rPr>
        <w:t>Przepisy dotyczące wykonawcy stosuje się odpowiednio do wykonawców wspólnie ubiegających się o udzielenie zamówienia.</w:t>
      </w:r>
    </w:p>
    <w:p>
      <w:pPr>
        <w:pStyle w:val="Normal"/>
        <w:numPr>
          <w:ilvl w:val="0"/>
          <w:numId w:val="14"/>
        </w:numPr>
        <w:tabs>
          <w:tab w:val="clear" w:pos="709"/>
          <w:tab w:val="left" w:pos="568" w:leader="none"/>
        </w:tabs>
        <w:bidi w:val="0"/>
        <w:spacing w:lineRule="auto" w:line="276" w:before="0" w:after="0"/>
        <w:ind w:hanging="284" w:start="284"/>
        <w:jc w:val="both"/>
        <w:rPr>
          <w:rFonts w:eastAsia="Times New Roman" w:cs="Arial" w:cstheme="minorHAnsi"/>
          <w:sz w:val="20"/>
          <w:szCs w:val="20"/>
          <w:lang w:eastAsia="pl-PL"/>
        </w:rPr>
      </w:pPr>
      <w:r>
        <w:rPr>
          <w:rFonts w:eastAsia="Times New Roman" w:cs="Arial" w:cstheme="minorHAnsi"/>
          <w:lang w:eastAsia="pl-PL"/>
        </w:rP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pPr>
        <w:pStyle w:val="Normal"/>
        <w:numPr>
          <w:ilvl w:val="0"/>
          <w:numId w:val="14"/>
        </w:numPr>
        <w:tabs>
          <w:tab w:val="clear" w:pos="709"/>
          <w:tab w:val="left" w:pos="568" w:leader="none"/>
        </w:tabs>
        <w:bidi w:val="0"/>
        <w:spacing w:lineRule="auto" w:line="276" w:before="0" w:after="0"/>
        <w:ind w:hanging="284" w:start="284"/>
        <w:jc w:val="both"/>
        <w:rPr>
          <w:rFonts w:eastAsia="Times New Roman" w:cs="Arial" w:cstheme="minorHAnsi"/>
          <w:lang w:eastAsia="pl-PL"/>
        </w:rPr>
      </w:pPr>
      <w:r>
        <w:rPr>
          <w:rFonts w:eastAsia="Times New Roman" w:cs="Arial" w:cstheme="minorHAnsi"/>
          <w:lang w:eastAsia="pl-PL"/>
        </w:rPr>
        <w:t xml:space="preserve">Wykonawca nie jest zobowiązany do złożenia dokumentów, o których mowa w ust. 1, jeżeli zamawiający może je uzyskać za pomocą bezpłatnych i ogólnodostępnych baz danych, o ile wykonawca wskazał dane umożliwiające dostęp do tych dokumentów. </w:t>
      </w:r>
    </w:p>
    <w:p>
      <w:pPr>
        <w:pStyle w:val="Normal"/>
        <w:numPr>
          <w:ilvl w:val="0"/>
          <w:numId w:val="14"/>
        </w:numPr>
        <w:tabs>
          <w:tab w:val="clear" w:pos="709"/>
          <w:tab w:val="left" w:pos="568" w:leader="none"/>
        </w:tabs>
        <w:bidi w:val="0"/>
        <w:spacing w:lineRule="auto" w:line="276" w:before="0" w:after="0"/>
        <w:ind w:hanging="284" w:start="284"/>
        <w:jc w:val="both"/>
        <w:rPr>
          <w:rFonts w:eastAsia="Times New Roman" w:cs="Arial" w:cstheme="minorHAnsi"/>
          <w:lang w:eastAsia="pl-PL"/>
        </w:rPr>
      </w:pPr>
      <w:r>
        <w:rPr>
          <w:rFonts w:eastAsia="Times New Roman" w:cs="Arial" w:cstheme="minorHAnsi"/>
          <w:lang w:eastAsia="pl-PL"/>
        </w:rPr>
        <w:t xml:space="preserve">Jeżeli w imieniu wykonawcy działa osoba, której umocowanie do jego reprezentowania nie wynika z dokumentów, o których mowa w ust. 1, zamawiający może żądać od wykonawcy pełnomocnictwa lub innego dokumentu potwierdzającego umocowanie do reprezentowania wykonawcy. </w:t>
      </w:r>
    </w:p>
    <w:p>
      <w:pPr>
        <w:pStyle w:val="Normal"/>
        <w:numPr>
          <w:ilvl w:val="0"/>
          <w:numId w:val="14"/>
        </w:numPr>
        <w:tabs>
          <w:tab w:val="clear" w:pos="709"/>
          <w:tab w:val="left" w:pos="568" w:leader="none"/>
        </w:tabs>
        <w:bidi w:val="0"/>
        <w:spacing w:lineRule="auto" w:line="276" w:before="0" w:after="0"/>
        <w:ind w:hanging="284" w:start="284"/>
        <w:jc w:val="both"/>
        <w:rPr>
          <w:rFonts w:eastAsia="Times New Roman" w:cs="Arial" w:cstheme="minorHAnsi"/>
          <w:lang w:eastAsia="pl-PL"/>
        </w:rPr>
      </w:pPr>
      <w:r>
        <w:rPr>
          <w:rFonts w:eastAsia="Times New Roman" w:cs="Arial" w:cstheme="minorHAnsi"/>
          <w:lang w:eastAsia="pl-PL"/>
        </w:rPr>
        <w:t xml:space="preserve">Przepis ust. 3 stosuje się odpowiednio do osoby działającej w imieniu wykonawców wspólnie ubiegających się o udzielenie zamówienia publicznego. </w:t>
      </w:r>
    </w:p>
    <w:p>
      <w:pPr>
        <w:pStyle w:val="Normal"/>
        <w:numPr>
          <w:ilvl w:val="0"/>
          <w:numId w:val="14"/>
        </w:numPr>
        <w:tabs>
          <w:tab w:val="clear" w:pos="709"/>
          <w:tab w:val="left" w:pos="568" w:leader="none"/>
        </w:tabs>
        <w:bidi w:val="0"/>
        <w:spacing w:lineRule="auto" w:line="276" w:before="0" w:after="0"/>
        <w:ind w:hanging="284" w:start="284"/>
        <w:jc w:val="both"/>
        <w:rPr>
          <w:rFonts w:eastAsia="Times New Roman" w:cs="Arial" w:cstheme="minorHAnsi"/>
          <w:lang w:eastAsia="pl-PL"/>
        </w:rPr>
      </w:pPr>
      <w:r>
        <w:rPr>
          <w:rFonts w:eastAsia="Times New Roman" w:cs="Arial" w:cstheme="minorHAnsi"/>
          <w:lang w:eastAsia="pl-PL"/>
        </w:rPr>
        <w:t xml:space="preserve">Przepisy ust. 1-3 stosuje się odpowiednio do osoby działającej w imieniu podmiotu udostępniającego zasoby na zasadach określonych w art. 118 ustawy Pzp lub podwykonawcy niebędącego podmiotem udostępniającym zasoby na takich zasadach. </w:t>
      </w:r>
    </w:p>
    <w:p>
      <w:pPr>
        <w:pStyle w:val="Normal"/>
        <w:numPr>
          <w:ilvl w:val="0"/>
          <w:numId w:val="14"/>
        </w:numPr>
        <w:tabs>
          <w:tab w:val="clear" w:pos="709"/>
          <w:tab w:val="left" w:pos="568" w:leader="none"/>
        </w:tabs>
        <w:bidi w:val="0"/>
        <w:spacing w:lineRule="auto" w:line="276" w:before="0" w:after="0"/>
        <w:ind w:hanging="284" w:start="284"/>
        <w:jc w:val="both"/>
        <w:rPr>
          <w:rFonts w:eastAsia="Times New Roman" w:cs="Arial" w:cstheme="minorHAnsi"/>
          <w:sz w:val="20"/>
          <w:szCs w:val="20"/>
          <w:lang w:eastAsia="pl-PL"/>
        </w:rPr>
      </w:pPr>
      <w:r>
        <w:rPr>
          <w:rFonts w:eastAsia="Times New Roman" w:cs="Arial" w:cstheme="minorHAnsi"/>
          <w:lang w:eastAsia="pl-PL"/>
        </w:rPr>
        <w:t>W przypadku wskazania przez wykonawcę dostępności podmiotowych środków dowodowych lub dokumentów, o których mowa w ust. 1, pod określonymi adresami internetowymi ogólnodostępnych i bezpłatnych baz danych, zamawiający może żądać od wykonawcy przedstawienia tłumaczenia na język polski pobranych samodzielnie przez zamawiającego podmiotowych środków dowodowych lub dokumentów.</w:t>
      </w:r>
    </w:p>
    <w:p>
      <w:pPr>
        <w:pStyle w:val="ListParagraph"/>
        <w:widowControl w:val="false"/>
        <w:numPr>
          <w:ilvl w:val="0"/>
          <w:numId w:val="0"/>
        </w:numPr>
        <w:pBdr>
          <w:top w:val="single" w:sz="4" w:space="1" w:color="000000"/>
          <w:left w:val="single" w:sz="4" w:space="4" w:color="000000"/>
          <w:bottom w:val="single" w:sz="4" w:space="1" w:color="000000"/>
          <w:right w:val="single" w:sz="4" w:space="4" w:color="000000"/>
        </w:pBdr>
        <w:shd w:val="clear" w:color="auto" w:fill="D9D9D9"/>
        <w:tabs>
          <w:tab w:val="clear" w:pos="709"/>
          <w:tab w:val="left" w:pos="284" w:leader="none"/>
        </w:tabs>
        <w:suppressAutoHyphens w:val="true"/>
        <w:spacing w:lineRule="auto" w:line="240" w:before="0" w:after="0"/>
        <w:ind w:hanging="0" w:start="0"/>
        <w:contextualSpacing/>
        <w:jc w:val="both"/>
        <w:rPr>
          <w:sz w:val="22"/>
          <w:szCs w:val="22"/>
        </w:rPr>
      </w:pPr>
      <w:r>
        <w:rPr>
          <w:rFonts w:eastAsia="Calibri" w:cs="Arial" w:ascii="Arial" w:hAnsi="Arial" w:cstheme="minorHAnsi"/>
          <w:b/>
          <w:bCs/>
          <w:iCs/>
          <w:color w:val="000000"/>
          <w:kern w:val="0"/>
          <w:sz w:val="22"/>
          <w:szCs w:val="22"/>
          <w:shd w:fill="auto" w:val="clear"/>
          <w:lang w:val="pl-PL" w:eastAsia="en-US" w:bidi="ar-SA"/>
        </w:rPr>
        <w:t xml:space="preserve">ROZDZIAŁ XII </w:t>
      </w:r>
      <w:r>
        <w:rPr>
          <w:rFonts w:eastAsia="Calibri" w:cs="Arial" w:ascii="Arial" w:hAnsi="Arial" w:cstheme="minorHAnsi"/>
          <w:b/>
          <w:bCs/>
          <w:iCs/>
          <w:color w:val="000000"/>
          <w:kern w:val="0"/>
          <w:sz w:val="22"/>
          <w:szCs w:val="22"/>
          <w:shd w:fill="808080" w:val="clear"/>
          <w:lang w:val="pl-PL" w:eastAsia="en-US" w:bidi="ar-SA"/>
        </w:rPr>
        <w:t>FORMA I POSTAĆ SKŁADANYCH OŚWIADCZEŃ I DOKUMENTÓW ORAZ OFERTY</w:t>
      </w:r>
    </w:p>
    <w:p>
      <w:pPr>
        <w:pStyle w:val="Textbody"/>
        <w:numPr>
          <w:ilvl w:val="0"/>
          <w:numId w:val="0"/>
        </w:numPr>
        <w:tabs>
          <w:tab w:val="clear" w:pos="709"/>
          <w:tab w:val="left" w:pos="284" w:leader="none"/>
        </w:tabs>
        <w:bidi w:val="0"/>
        <w:spacing w:lineRule="auto" w:line="276" w:before="60" w:after="60"/>
        <w:ind w:hanging="0" w:start="0" w:end="-1"/>
        <w:jc w:val="both"/>
        <w:rPr>
          <w:rFonts w:ascii="Arial" w:hAnsi="Arial" w:cs="Arial"/>
          <w:sz w:val="22"/>
          <w:szCs w:val="22"/>
        </w:rPr>
      </w:pPr>
      <w:r>
        <w:rPr>
          <w:rFonts w:cs="Arial" w:ascii="Arial" w:hAnsi="Arial"/>
          <w:sz w:val="22"/>
          <w:szCs w:val="22"/>
        </w:rPr>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Sposób sporządzania oraz sposób przekazywania podmiotowych środków dowodowych oraz innych informacji, oświadczeń lub dokumentów, przekazywanych w postępowaniu, wymagania techniczne dla dokumentów elektronicznych, o których mowa w art. 3 pkt 35 rozporządzenia Parlamentu Europejskiego i Rady (UE) nr 910/2014 z dnia 23 lipca 2014 r. w sprawie identyfikacji elektronicznej i usług zaufania w odniesieniu do transakcji elektronicznych na rynku wewnętrznym oraz uchylającego dyrektywę 1999/93/WE (Dz. Urz. UE L 257 z 28.08.2014, str. 73), zwanych dalej „dokumentami elektronicznymi”, zawierających podmiotowe środki dowodowe, oraz inne informacje, oświadczenia lub dokumenty, przekazywane w postępowaniu, oraz wymagania techniczne i organizacyjne użycia środków komunikacji elektronicznej służących do odbioru dokumentów elektronicznych, określa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w:t>
      </w:r>
      <w:r>
        <w:rPr>
          <w:rFonts w:cs="Arial" w:ascii="Times New Roman" w:hAnsi="Times New Roman"/>
          <w:b/>
          <w:bCs/>
        </w:rPr>
        <w:t>„rozporządzenie</w:t>
      </w:r>
      <w:r>
        <w:rPr>
          <w:rFonts w:cs="Arial" w:ascii="Times New Roman" w:hAnsi="Times New Roman"/>
        </w:rPr>
        <w:t xml:space="preserve">”.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Podmiotowe środki dowodowe, w tym oświadczenie, o którym mowa w art. 117 ust. 4 Pzp, oraz zobowiązanie podmiotu udostępniającego zasoby, o którym mowa w art. 118 ust. 3 Pzp, zwane dalej </w:t>
      </w:r>
      <w:r>
        <w:rPr>
          <w:rFonts w:cs="Arial" w:ascii="Times New Roman" w:hAnsi="Times New Roman"/>
          <w:b/>
          <w:bCs/>
        </w:rPr>
        <w:t>„zobowiązaniem podmiotu udostępniającego zasoby”</w:t>
      </w:r>
      <w:r>
        <w:rPr>
          <w:rFonts w:cs="Arial" w:ascii="Times New Roman" w:hAnsi="Times New Roman"/>
        </w:rPr>
        <w:t xml:space="preserve">, pełnomocnictwo, </w:t>
      </w:r>
      <w:r>
        <w:rPr>
          <w:rFonts w:cs="Arial" w:ascii="Times New Roman" w:hAnsi="Times New Roman"/>
          <w:b/>
          <w:bCs/>
        </w:rPr>
        <w:t xml:space="preserve">sporządza się w postaci elektronicznej, w formatach danych określonych w przepisach wydanych na podstawie art. 18 ustawy z dnia 17 lutego 2005 r. o informatyzacji działalności podmiotów realizujących zadania publiczne,Dz. U. z 2024 r. poz. 1557, 1717.   </w:t>
      </w:r>
      <w:r>
        <w:rPr>
          <w:rFonts w:cs="Arial" w:ascii="Times New Roman" w:hAnsi="Times New Roman"/>
        </w:rPr>
        <w:t xml:space="preserve">z zastrzeżeniem formatów, o których mowa w art. 66 ust. 1 Pzp, z uwzględnieniem rodzaju przekazywanych danych.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p>
    <w:p>
      <w:pPr>
        <w:pStyle w:val="ListParagraph"/>
        <w:numPr>
          <w:ilvl w:val="2"/>
          <w:numId w:val="10"/>
        </w:numPr>
        <w:spacing w:lineRule="auto" w:line="276" w:before="0" w:after="0"/>
        <w:ind w:hanging="284" w:start="284"/>
        <w:contextualSpacing/>
        <w:jc w:val="both"/>
        <w:rPr>
          <w:rFonts w:ascii="Times New Roman" w:hAnsi="Times New Roman"/>
        </w:rPr>
      </w:pPr>
      <w:r>
        <w:rPr>
          <w:rFonts w:ascii="Times New Roman" w:hAnsi="Times New Roman"/>
        </w:rPr>
        <w:t xml:space="preserve">W przypadku gdy dokumenty elektroniczne w postępowaniu, przekazywane przy użyciu środków komunikacji elektronicznej, zawierają informacje stanowiące tajemnicę przedsiębiorstwa w rozumieniu przepisów ustawy z dnia 16 kwietnia 1993 r. o </w:t>
      </w:r>
      <w:r>
        <w:rPr>
          <w:rFonts w:cs="Arial" w:ascii="Times New Roman" w:hAnsi="Times New Roman"/>
        </w:rPr>
        <w:t xml:space="preserve">zwalczaniu nieuczciwej konkurencji (Dz. U. z 2020 r. poz. 1913), wykonawca, w celu utrzymania w poufności tych informacji, przekazuje je w wydzielonym i odpowiednio oznaczonym pliku.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Podmiotowe środki dowodowe oraz inne dokumenty lub oświadczenia, sporządzone w języku obcym przekazuje się wraz z tłumaczeniem na język polski. Tłumaczenie nie jest wymagane, jeżeli zamawiający wyraził zgodę na złożenie oferty podlegającej negocjacjom, oferty, oświadczeń lub innych dokumentów w jednym z języków powszechnie używanych w handlu międzynarodowym lub języku kraju, w którym zamówienie jest udzielane.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w:t>
      </w:r>
      <w:r>
        <w:rPr>
          <w:rFonts w:cs="Arial" w:ascii="Times New Roman" w:hAnsi="Times New Roman"/>
          <w:b/>
          <w:bCs/>
        </w:rPr>
        <w:t>„dokumentami potwierdzającymi umocowanie do reprezentowania”</w:t>
      </w:r>
      <w:r>
        <w:rPr>
          <w:rFonts w:cs="Arial" w:ascii="Times New Roman" w:hAnsi="Times New Roman"/>
        </w:rPr>
        <w:t xml:space="preserve">, zostały wystawione przez upoważnione podmioty inne niż wykonawca, wykonawca wspólnie ubiegający się o udzielenie zamówienia, podmiot udostępniający zasoby lub podwykonawca, zwane dalej </w:t>
      </w:r>
      <w:r>
        <w:rPr>
          <w:rFonts w:cs="Arial" w:ascii="Times New Roman" w:hAnsi="Times New Roman"/>
          <w:b/>
          <w:bCs/>
        </w:rPr>
        <w:t>„upoważnionymi podmiotami”</w:t>
      </w:r>
      <w:r>
        <w:rPr>
          <w:rFonts w:cs="Arial" w:ascii="Times New Roman" w:hAnsi="Times New Roman"/>
        </w:rPr>
        <w:t xml:space="preserve">, jako dokument elektroniczny, przekazuje się ten dokument.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Zgodnie z § 6 ust. 2 rozporządzenia w przypadku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Zgodnie z § 6 ust. 3 rozporządzenia poświadczenia zgodności cyfrowego odwzorowania z dokumentem w postaci papierowej, o którym mowa w § 6 ust. 2 rozporządzenia, dokonuje w przypadku:</w:t>
      </w:r>
    </w:p>
    <w:p>
      <w:pPr>
        <w:pStyle w:val="ListParagraph"/>
        <w:numPr>
          <w:ilvl w:val="1"/>
          <w:numId w:val="12"/>
        </w:numPr>
        <w:spacing w:lineRule="auto" w:line="276" w:before="0" w:after="0"/>
        <w:ind w:hanging="283" w:start="567"/>
        <w:contextualSpacing/>
        <w:jc w:val="both"/>
        <w:rPr>
          <w:rFonts w:ascii="Times New Roman" w:hAnsi="Times New Roman"/>
        </w:rPr>
      </w:pPr>
      <w:r>
        <w:rPr>
          <w:rFonts w:cs="Arial" w:ascii="Times New Roman" w:hAnsi="Times New Roman"/>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pPr>
        <w:pStyle w:val="ListParagraph"/>
        <w:numPr>
          <w:ilvl w:val="1"/>
          <w:numId w:val="12"/>
        </w:numPr>
        <w:spacing w:lineRule="auto" w:line="276" w:before="0" w:after="0"/>
        <w:ind w:hanging="283" w:start="567"/>
        <w:contextualSpacing/>
        <w:jc w:val="both"/>
        <w:rPr>
          <w:rFonts w:ascii="Times New Roman" w:hAnsi="Times New Roman"/>
        </w:rPr>
      </w:pPr>
      <w:r>
        <w:rPr>
          <w:rFonts w:cs="Arial" w:ascii="Times New Roman" w:hAnsi="Times New Roman"/>
          <w:b w:val="false"/>
          <w:bCs w:val="false"/>
          <w:sz w:val="21"/>
          <w:szCs w:val="21"/>
        </w:rPr>
        <w:t xml:space="preserve">innych dokumentów – odpowiednio wykonawca lub wykonawca wspólnie ubiegający się o udzielenie zamówienia, w zakresie dokumentów, które każdego z nich dotyczą. </w:t>
      </w:r>
    </w:p>
    <w:p>
      <w:pPr>
        <w:pStyle w:val="ListParagraph"/>
        <w:numPr>
          <w:ilvl w:val="0"/>
          <w:numId w:val="0"/>
        </w:numPr>
        <w:spacing w:lineRule="auto" w:line="276" w:before="0" w:after="0"/>
        <w:ind w:hanging="0" w:start="1724"/>
        <w:contextualSpacing/>
        <w:jc w:val="both"/>
        <w:rPr>
          <w:rFonts w:ascii="Times New Roman" w:hAnsi="Times New Roman" w:cs="Arial"/>
        </w:rPr>
      </w:pPr>
      <w:r>
        <w:rPr>
          <w:rFonts w:cs="Arial" w:ascii="Times New Roman" w:hAnsi="Times New Roman"/>
        </w:rPr>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Zgodnie z § 6 ust. 4 rozporządzenia poświadczenia zgodności cyfrowego odwzorowania z dokumentem w postaci papierowej, o którym mowa w § 6 ust. 2 rozporządzenia, może dokonać również notariusz.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Podmiotowe środki dowodowe, w tym oświadczenie, o którym mowa w art. 117 ust. 4 Pzp, oraz zobowiązanie podmiotu udostępniającego zasoby, niewystawione przez upoważnione podmioty, oraz pełnomocnictwo przekazuje się w postaci elektronicznej i opatruje kwalifikowanym podpisem elektronicznym, podpisem zaufanym lub podpisem osobistym.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Zgodnie z § 7 ust. 2 rozporządzenia w przypadku gdy podmiotowe środki dowodowe, w tym oświadczenie, o którym mowa w art. 117 ust. 4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Przez cyfrowe odwzorowanie, o którym mowa w § 6 ust. 2-4 i § 7 ust. 2 rozporządzeniu, należy rozumieć dokument elektroniczny będący kopią elektroniczną treści zapisanej w postaci papierowej, umożliwiający zapoznanie się z tą treścią i jej zrozumienie, bez konieczności bezpośredniego dostępu do oryginału.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Zgodnie z § 7 ust. 3 rozporządzenia poświadczenia zgodności cyfrowego odwzorowania z dokumentem w postaci papierowej, o którym mowa w § 7 ust. 2, dokonuje w przypadku: </w:t>
      </w:r>
    </w:p>
    <w:p>
      <w:pPr>
        <w:pStyle w:val="ListParagraph"/>
        <w:numPr>
          <w:ilvl w:val="1"/>
          <w:numId w:val="14"/>
        </w:numPr>
        <w:spacing w:lineRule="auto" w:line="276" w:before="0" w:after="0"/>
        <w:ind w:hanging="283" w:start="567"/>
        <w:contextualSpacing/>
        <w:jc w:val="both"/>
        <w:rPr>
          <w:rFonts w:ascii="Times New Roman" w:hAnsi="Times New Roman"/>
        </w:rPr>
      </w:pPr>
      <w:r>
        <w:rPr>
          <w:rFonts w:cs="Arial" w:ascii="Times New Roman" w:hAnsi="Times New Roman"/>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pPr>
        <w:pStyle w:val="ListParagraph"/>
        <w:numPr>
          <w:ilvl w:val="1"/>
          <w:numId w:val="14"/>
        </w:numPr>
        <w:spacing w:lineRule="auto" w:line="276" w:before="0" w:after="0"/>
        <w:ind w:hanging="283" w:start="567"/>
        <w:contextualSpacing/>
        <w:jc w:val="both"/>
        <w:rPr>
          <w:rFonts w:ascii="Times New Roman" w:hAnsi="Times New Roman"/>
        </w:rPr>
      </w:pPr>
      <w:r>
        <w:rPr>
          <w:rFonts w:cs="Arial" w:ascii="Times New Roman" w:hAnsi="Times New Roman"/>
        </w:rPr>
        <w:t xml:space="preserve">oświadczenia, o którym mowa w art. 117 ust. 4 Pzp, lub zobowiązania podmiotu udostępniającego zasoby - odpowiednio wykonawca lub wykonawca wspólnie ubiegający się o udzielenie zamówienia; </w:t>
      </w:r>
    </w:p>
    <w:p>
      <w:pPr>
        <w:pStyle w:val="ListParagraph"/>
        <w:numPr>
          <w:ilvl w:val="1"/>
          <w:numId w:val="14"/>
        </w:numPr>
        <w:spacing w:lineRule="auto" w:line="276" w:before="0" w:after="0"/>
        <w:ind w:hanging="283" w:start="567"/>
        <w:contextualSpacing/>
        <w:jc w:val="both"/>
        <w:rPr>
          <w:rFonts w:ascii="Times New Roman" w:hAnsi="Times New Roman"/>
        </w:rPr>
      </w:pPr>
      <w:r>
        <w:rPr>
          <w:rFonts w:cs="Arial" w:ascii="Times New Roman" w:hAnsi="Times New Roman"/>
        </w:rPr>
        <w:t xml:space="preserve">pełnomocnictwa - mocodawca.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Poświadczenia zgodności cyfrowego odwzorowania z dokumentem w postaci papierowej, o którym mowa w § 7 ust. 2 rozporządzenia, może dokonać również notariusz.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Zgodnie z § 8 rozporządzenia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Zgodnie z § 9 ust. 5 rozporządzenia w przypadku gdy podmiotowe środki dowodowe lub inne dokumenty, dokumenty potwierdzające umocowanie do reprezentowania, zostały wystawione przez upoważnione podmioty jako dokument elektroniczny, przekazuje się uwierzytelniony wydruk wizualizacji treści tego dokumentu.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 xml:space="preserve">Zamawiający może żądać przedstawienia oryginału lub notarialnie poświadczonej kopii, wyłącznie wtedy, gdy złożona kopia jest nieczytelna lub budzi wątpliwości co do jej prawdziwości.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Zgodnie z § 10 rozporządzenia dokumenty elektroniczne w postępowaniu muszą spełniać łącznie następujące wymagania:</w:t>
      </w:r>
    </w:p>
    <w:p>
      <w:pPr>
        <w:pStyle w:val="ListParagraph"/>
        <w:numPr>
          <w:ilvl w:val="2"/>
          <w:numId w:val="15"/>
        </w:numPr>
        <w:spacing w:lineRule="auto" w:line="276" w:before="0" w:after="0"/>
        <w:ind w:hanging="283" w:start="567"/>
        <w:contextualSpacing/>
        <w:jc w:val="both"/>
        <w:rPr>
          <w:rFonts w:ascii="Times New Roman" w:hAnsi="Times New Roman"/>
        </w:rPr>
      </w:pPr>
      <w:r>
        <w:rPr>
          <w:rFonts w:cs="Arial" w:ascii="Times New Roman" w:hAnsi="Times New Roman"/>
        </w:rPr>
        <w:t xml:space="preserve">muszą być utrwalone w sposób umożliwiający ich wielokrotne odczytanie, zapisanie i powielenie, a także przekazanie przy użyciu środków komunikacji elektronicznej lub na informatycznym nośniku danych; </w:t>
      </w:r>
    </w:p>
    <w:p>
      <w:pPr>
        <w:pStyle w:val="ListParagraph"/>
        <w:numPr>
          <w:ilvl w:val="2"/>
          <w:numId w:val="15"/>
        </w:numPr>
        <w:spacing w:lineRule="auto" w:line="276" w:before="0" w:after="0"/>
        <w:ind w:hanging="283" w:start="567"/>
        <w:contextualSpacing/>
        <w:jc w:val="both"/>
        <w:rPr>
          <w:rFonts w:ascii="Times New Roman" w:hAnsi="Times New Roman"/>
        </w:rPr>
      </w:pPr>
      <w:r>
        <w:rPr>
          <w:rFonts w:cs="Arial" w:ascii="Times New Roman" w:hAnsi="Times New Roman"/>
        </w:rPr>
        <w:t xml:space="preserve">muszą umożliwiać prezentację treści w postaci elektronicznej, w szczególności przez wyświetlenie tej treści na monitorze ekranowym; </w:t>
      </w:r>
    </w:p>
    <w:p>
      <w:pPr>
        <w:pStyle w:val="ListParagraph"/>
        <w:numPr>
          <w:ilvl w:val="2"/>
          <w:numId w:val="15"/>
        </w:numPr>
        <w:spacing w:lineRule="auto" w:line="276" w:before="0" w:after="0"/>
        <w:ind w:hanging="283" w:start="567"/>
        <w:contextualSpacing/>
        <w:jc w:val="both"/>
        <w:rPr>
          <w:rFonts w:ascii="Times New Roman" w:hAnsi="Times New Roman"/>
        </w:rPr>
      </w:pPr>
      <w:r>
        <w:rPr>
          <w:rFonts w:cs="Arial" w:ascii="Times New Roman" w:hAnsi="Times New Roman"/>
        </w:rPr>
        <w:t>muszą umożliwiać prezentację treści w postaci papierowej, w szczególności za pomocą wydruku;</w:t>
      </w:r>
    </w:p>
    <w:p>
      <w:pPr>
        <w:pStyle w:val="ListParagraph"/>
        <w:numPr>
          <w:ilvl w:val="2"/>
          <w:numId w:val="15"/>
        </w:numPr>
        <w:spacing w:lineRule="auto" w:line="276" w:before="0" w:after="0"/>
        <w:ind w:hanging="283" w:start="567"/>
        <w:contextualSpacing/>
        <w:jc w:val="both"/>
        <w:rPr>
          <w:rFonts w:ascii="Times New Roman" w:hAnsi="Times New Roman"/>
        </w:rPr>
      </w:pPr>
      <w:r>
        <w:rPr>
          <w:rFonts w:cs="Arial" w:ascii="Times New Roman" w:hAnsi="Times New Roman"/>
        </w:rPr>
        <w:t xml:space="preserve">muszą zawierać dane w układzie niepozostawiającym wątpliwości co do treści i kontekstu zapisanych informacji. </w:t>
      </w:r>
    </w:p>
    <w:p>
      <w:pPr>
        <w:pStyle w:val="ListParagraph"/>
        <w:numPr>
          <w:ilvl w:val="2"/>
          <w:numId w:val="10"/>
        </w:numPr>
        <w:spacing w:lineRule="auto" w:line="276" w:before="0" w:after="0"/>
        <w:ind w:hanging="284" w:start="284"/>
        <w:contextualSpacing/>
        <w:jc w:val="both"/>
        <w:rPr>
          <w:rFonts w:ascii="Times New Roman" w:hAnsi="Times New Roman"/>
        </w:rPr>
      </w:pPr>
      <w:r>
        <w:rPr>
          <w:rFonts w:cs="Arial" w:ascii="Times New Roman" w:hAnsi="Times New Roman"/>
        </w:rPr>
        <w:t>W kwestiach nieuregulowanych w SWZ zastosowanie mają przepisy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pPr>
        <w:pStyle w:val="ListParagraph"/>
        <w:widowControl w:val="false"/>
        <w:numPr>
          <w:ilvl w:val="0"/>
          <w:numId w:val="0"/>
        </w:numPr>
        <w:pBdr>
          <w:top w:val="single" w:sz="4" w:space="1" w:color="000000"/>
          <w:left w:val="single" w:sz="4" w:space="4" w:color="000000"/>
          <w:bottom w:val="single" w:sz="4" w:space="1" w:color="000000"/>
          <w:right w:val="single" w:sz="4" w:space="4" w:color="000000"/>
        </w:pBdr>
        <w:shd w:val="clear" w:color="auto" w:fill="D9D9D9"/>
        <w:tabs>
          <w:tab w:val="clear" w:pos="709"/>
          <w:tab w:val="left" w:pos="284" w:leader="none"/>
        </w:tabs>
        <w:suppressAutoHyphens w:val="true"/>
        <w:spacing w:lineRule="auto" w:line="240" w:before="0" w:after="0"/>
        <w:ind w:hanging="0" w:start="0"/>
        <w:contextualSpacing/>
        <w:jc w:val="both"/>
        <w:rPr/>
      </w:pPr>
      <w:r>
        <w:rPr>
          <w:rStyle w:val="Hyperlink"/>
          <w:rFonts w:eastAsia="Calibri" w:cs="Arial" w:ascii="Arial" w:hAnsi="Arial" w:cstheme="minorHAnsi"/>
          <w:b/>
          <w:bCs/>
          <w:iCs/>
          <w:color w:val="000000"/>
          <w:kern w:val="0"/>
          <w:sz w:val="22"/>
          <w:szCs w:val="22"/>
          <w:u w:val="none"/>
          <w:shd w:fill="auto" w:val="clear"/>
          <w:lang w:val="pl-PL" w:eastAsia="en-US" w:bidi="ar-SA"/>
        </w:rPr>
        <w:t xml:space="preserve">ROZDZIAŁ XIII JAWNOŚĆ POSTĘPOWANIA </w:t>
      </w:r>
    </w:p>
    <w:p>
      <w:pPr>
        <w:pStyle w:val="Standard"/>
        <w:spacing w:lineRule="auto" w:line="276"/>
        <w:jc w:val="start"/>
        <w:rPr/>
      </w:pPr>
      <w:r>
        <w:rPr>
          <w:rStyle w:val="Hyperlink"/>
          <w:rFonts w:cs="Times New Roman" w:ascii="Times New Roman" w:hAnsi="Times New Roman"/>
          <w:color w:val="1C1C1C"/>
          <w:sz w:val="22"/>
          <w:szCs w:val="22"/>
        </w:rPr>
        <w:t>1</w:t>
      </w:r>
      <w:r>
        <w:rPr>
          <w:rStyle w:val="Hyperlink"/>
          <w:rFonts w:cs="Times New Roman" w:ascii="Times New Roman" w:hAnsi="Times New Roman"/>
          <w:color w:val="1C1C1C"/>
          <w:sz w:val="22"/>
          <w:szCs w:val="22"/>
          <w:u w:val="none"/>
        </w:rPr>
        <w:t>. Zamawiający prowadzi i udostępnia protokół na zasadach określonych w ustawie oraz rozporządzeniu  Ministra Rozwoju i pracy i Technologii z dnia 18 grudnia 2020 r. w sprawie protokołów postępowania oraz dokumentacji postępowania o udzielenie zamówienia publicznego.</w:t>
      </w:r>
    </w:p>
    <w:p>
      <w:pPr>
        <w:pStyle w:val="Standard"/>
        <w:tabs>
          <w:tab w:val="clear" w:pos="709"/>
          <w:tab w:val="left" w:pos="2390" w:leader="none"/>
        </w:tabs>
        <w:spacing w:lineRule="auto" w:line="276"/>
        <w:jc w:val="start"/>
        <w:rPr/>
      </w:pPr>
      <w:r>
        <w:rPr>
          <w:rStyle w:val="Hyperlink"/>
          <w:rFonts w:cs="Times New Roman" w:ascii="Times New Roman" w:hAnsi="Times New Roman"/>
          <w:color w:val="111111"/>
          <w:sz w:val="22"/>
          <w:szCs w:val="22"/>
          <w:u w:val="none"/>
        </w:rPr>
        <w:t xml:space="preserve"> </w:t>
      </w:r>
      <w:hyperlink r:id="rId3" w:tgtFrame="_top">
        <w:r>
          <w:rPr>
            <w:rStyle w:val="Hyperlink"/>
            <w:rFonts w:ascii="Times New Roman" w:hAnsi="Times New Roman"/>
            <w:color w:val="111111"/>
            <w:sz w:val="22"/>
            <w:szCs w:val="22"/>
            <w:u w:val="none"/>
          </w:rPr>
          <w:t>2.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w:t>
        </w:r>
        <w:r>
          <w:rPr>
            <w:rStyle w:val="Hyperlink"/>
            <w:rFonts w:ascii="Times New Roman" w:hAnsi="Times New Roman"/>
            <w:color w:val="000000"/>
            <w:sz w:val="22"/>
            <w:szCs w:val="22"/>
            <w:u w:val="none"/>
          </w:rPr>
          <w:t>e</w:t>
        </w:r>
      </w:hyperlink>
      <w:r>
        <w:rPr>
          <w:rStyle w:val="Hyperlink"/>
          <w:rFonts w:ascii="Times New Roman" w:hAnsi="Times New Roman"/>
          <w:color w:val="000000"/>
          <w:sz w:val="22"/>
          <w:szCs w:val="22"/>
          <w:u w:val="none"/>
        </w:rPr>
        <w:t xml:space="preserve"> zastrzeżone informacje stanowią tajemnicę przedsiębiorstwa. Wykonawca w celu utrzymania poufności tych informacji , przekazuje je w wydzielonym i odpowiednio oznaczonym pliku.</w:t>
      </w:r>
    </w:p>
    <w:p>
      <w:pPr>
        <w:pStyle w:val="Standard"/>
        <w:spacing w:lineRule="auto" w:line="276"/>
        <w:jc w:val="start"/>
        <w:rPr/>
      </w:pPr>
      <w:r>
        <w:rPr>
          <w:rStyle w:val="Hyperlink"/>
          <w:rFonts w:ascii="Times New Roman" w:hAnsi="Times New Roman"/>
          <w:color w:val="000000"/>
          <w:sz w:val="22"/>
          <w:szCs w:val="22"/>
          <w:u w:val="none"/>
        </w:rPr>
        <w:t xml:space="preserve"> </w:t>
      </w:r>
      <w:r>
        <w:rPr>
          <w:rStyle w:val="Hyperlink"/>
          <w:rFonts w:ascii="Times New Roman" w:hAnsi="Times New Roman"/>
          <w:color w:val="000000"/>
          <w:sz w:val="22"/>
          <w:szCs w:val="22"/>
          <w:u w:val="none"/>
        </w:rPr>
        <w:t>3. Zamawiający nie ponosi odpowiedzialności za ujawnienie tych informacji , w sytuacji , gdy wykonawca nie wydzieli tych informacji i odpowiednio nie oznaczy. Wykonawca nie może zastrzec informacji, o których mowa w art. 222 ust. 5 ustawy.</w:t>
      </w:r>
    </w:p>
    <w:p>
      <w:pPr>
        <w:pStyle w:val="Standard"/>
        <w:spacing w:lineRule="auto" w:line="276" w:before="0" w:after="200"/>
        <w:ind w:hanging="284" w:start="284"/>
        <w:jc w:val="start"/>
        <w:rPr/>
      </w:pPr>
      <w:r>
        <w:rPr>
          <w:rStyle w:val="Hyperlink"/>
          <w:rFonts w:cs="Times New Roman" w:ascii="Times New Roman" w:hAnsi="Times New Roman"/>
          <w:color w:val="1C1C1C"/>
          <w:sz w:val="22"/>
          <w:szCs w:val="22"/>
          <w:u w:val="none"/>
        </w:rPr>
        <w:t>4. 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"RODO", w celu umożliwienia korzystania za środków ochrony prawnej, o których mowa w ustawie, do upływu terminu na ich wniesienie.</w:t>
      </w:r>
    </w:p>
    <w:p>
      <w:pPr>
        <w:pStyle w:val="Normal"/>
        <w:tabs>
          <w:tab w:val="clear" w:pos="709"/>
          <w:tab w:val="left" w:pos="1276" w:leader="none"/>
        </w:tabs>
        <w:bidi w:val="0"/>
        <w:spacing w:lineRule="auto" w:line="240" w:before="0" w:after="0"/>
        <w:jc w:val="start"/>
        <w:rPr/>
      </w:pPr>
      <w:r>
        <w:rPr>
          <w:rStyle w:val="markedcontent"/>
          <w:rFonts w:eastAsia="Times New Roman" w:cs="Arial" w:ascii="Times New Roman" w:hAnsi="Times New Roman"/>
          <w:sz w:val="22"/>
          <w:szCs w:val="22"/>
          <w:lang w:eastAsia="pl-PL"/>
        </w:rPr>
        <w:t>Obowiązek informacyjny dla zamówień publicznych</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Zgodnie z art. 13 ust. 1 i 2 rozporządzenia Parlamentu Europejskiego i Rady (UE) 2016/679 z dnia 27 kwietnia 2016</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r. w sprawie ochrony osób fizycznych w związku z przetwarzaniem danych osobowych i w sprawie swobodnego</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przepływu takich danych oraz uchylenia dyrektywy 95/46/WE (ogólne rozporządzenie o ochronie danych)</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(Dz. Urz. UE L 119 z 04.05.2016, str. 1), dalej „RODO”, informuję, że:</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1. Administratorem Pani/Pana danych osobowych Szkoła Podstawowa nr 13 im. Orląt Lwowskich w Głogowie,</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ul. Akacjowa 10, 67-200 Głogów, sekretariat@sp13.glogow.pl</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2. Kontakt z Inspektorem ochrony danych, e-mail: iod@odoplus.pl.</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3. Pani/Pana dane osobowe przetwarzane będą na podstawie art. 6 ust. 1 lit. c RODO w związku z ustawą z 11</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września 2019 r. prawo zamówień publicznych – dalej PZP (Dz. U. Z 2024 r. poz. 1320 ze zm.) w celu związanym z postępowaniem o udzielenie zamówienia</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publicznego oraz zawarcia umowy.</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4. Odbiorcami Pani/Pana danych osobowych będą osoby lub podmioty, którym udostępniona zostanie</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dokumentacja postępowania w oparciu o art. 18 oraz art. 74 PZP.</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5. Pani/Pana dane osobowe będą przechowywane, zgodnie z art. 78 ust. 1 PZP, przez okres 4 lat od dnia</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zakończenia postępowania o udzielenie zamówienia, a jeżeli czas trwania umowy przekracza 4 lata, okres</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przechowywania obejmuje cały czas trwania umowy.</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6. obowiązek podania przez Panią/Pana danych osobowych bezpośrednio Pani/Pana dotyczących jest</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wymogiem ustawowym określonym w przepisach ustawy Pzp, związanym z udziałem w postępowaniu</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o udzielenie zamówienia publicznego; konsekwencje niepodania określonych danych wynikają z ustawy</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Pzp.</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7. w odniesieniu do Pani/Pana danych osobowych decyzje nie będą podejmowane w sposób zautomatyzowany,</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stosowanie do art. 22 RODO.</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8. posiada Pani/Pan:</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 na podstawie art. 15 RODO prawo dostępu do danych osobowych Pani/Pana dotyczących;</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 na podstawie art. 16 RODO prawo do sprostowania Pani/Pana danych osobowych</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 na podstawie art. 18 RODO prawo żądania od administratora ograniczenia przetwarzania danych</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osobowych z zastrzeżeniem przypadków, o których mowa w art. 18 ust. 2 RODO</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 prawo do wniesienia skargi do Prezesa Urzędu Ochrony Danych Osobowych, gdy uzna Pani/Pan, że</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przetwarzanie danych osobowych Pani/Pana dotyczących narusza przepisy RODO.</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9. Nie przysługuje Pani/Panu:</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 prawo do usunięcia danych osobowych w związku z art. 17 ust. 3 lit. b, d lub e RODO;</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 prawo do przenoszenia danych osobowych, o którym mowa w art. 20 RODO;</w:t>
      </w:r>
      <w:r>
        <w:rPr>
          <w:rFonts w:eastAsia="Times New Roman" w:cs="Arial" w:ascii="Times New Roman" w:hAnsi="Times New Roman" w:cstheme="minorHAnsi"/>
          <w:sz w:val="22"/>
          <w:szCs w:val="22"/>
          <w:lang w:eastAsia="pl-PL"/>
        </w:rPr>
        <w:br/>
      </w:r>
      <w:r>
        <w:rPr>
          <w:rStyle w:val="markedcontent"/>
          <w:rFonts w:eastAsia="Times New Roman" w:cs="Arial" w:ascii="Times New Roman" w:hAnsi="Times New Roman"/>
          <w:sz w:val="22"/>
          <w:szCs w:val="22"/>
          <w:lang w:eastAsia="pl-PL"/>
        </w:rPr>
        <w:t>− prawo sprzeciwu na podstawie art. 21 RODO</w:t>
      </w:r>
    </w:p>
    <w:tbl>
      <w:tblPr>
        <w:tblStyle w:val="Tabela-Siatka"/>
        <w:tblW w:w="10065" w:type="dxa"/>
        <w:jc w:val="center"/>
        <w:tblInd w:w="0" w:type="dxa"/>
        <w:tblLayout w:type="fixed"/>
        <w:tblCellMar>
          <w:top w:w="0" w:type="dxa"/>
          <w:start w:w="108" w:type="dxa"/>
          <w:bottom w:w="0" w:type="dxa"/>
          <w:end w:w="108" w:type="dxa"/>
        </w:tblCellMar>
        <w:tblLook w:firstRow="1" w:noVBand="1" w:lastRow="0" w:firstColumn="1" w:lastColumn="0" w:noHBand="0" w:val="04a0"/>
      </w:tblPr>
      <w:tblGrid>
        <w:gridCol w:w="10065"/>
      </w:tblGrid>
      <w:tr>
        <w:trPr>
          <w:trHeight w:val="777" w:hRule="atLeast"/>
        </w:trPr>
        <w:tc>
          <w:tcPr>
            <w:tcW w:w="10065" w:type="dxa"/>
            <w:tcBorders/>
            <w:shd w:color="auto" w:fill="D9D9D9" w:themeFill="background1" w:themeFillShade="d9" w:val="clear"/>
            <w:vAlign w:val="center"/>
          </w:tcPr>
          <w:p>
            <w:pPr>
              <w:pStyle w:val="ListParagraph"/>
              <w:widowControl w:val="false"/>
              <w:numPr>
                <w:ilvl w:val="0"/>
                <w:numId w:val="0"/>
              </w:numPr>
              <w:suppressAutoHyphens w:val="true"/>
              <w:spacing w:lineRule="auto" w:line="240" w:before="0" w:after="0"/>
              <w:ind w:hanging="0" w:start="1080"/>
              <w:contextualSpacing/>
              <w:jc w:val="both"/>
              <w:rPr>
                <w:rFonts w:ascii="Times New Roman" w:hAnsi="Times New Roman" w:cs=""/>
                <w:b/>
                <w:bCs/>
              </w:rPr>
            </w:pPr>
            <w:r>
              <w:rPr>
                <w:rFonts w:eastAsia="Calibri" w:cs="Arial" w:ascii="Times New Roman" w:hAnsi="Times New Roman" w:cstheme="minorHAnsi"/>
                <w:b/>
                <w:bCs/>
                <w:kern w:val="0"/>
                <w:sz w:val="24"/>
                <w:szCs w:val="24"/>
                <w:lang w:val="pl-PL" w:eastAsia="en-US" w:bidi="ar-SA"/>
              </w:rPr>
              <w:t>ROZDZIAŁ XIV PROJEKTOWANE POSTANOWIENIA UMOWY W SPRAWIE ZAMÓWIENIA PUBLICZNEGO, KTÓRE ZOSTANĄ WPROWADZONE DO TREŚCI ZAWIERANEJ UMOWY</w:t>
            </w:r>
          </w:p>
        </w:tc>
      </w:tr>
    </w:tbl>
    <w:p>
      <w:pPr>
        <w:pStyle w:val="Normal"/>
        <w:tabs>
          <w:tab w:val="clear" w:pos="709"/>
          <w:tab w:val="decimal" w:pos="6946" w:leader="dot"/>
        </w:tabs>
        <w:bidi w:val="0"/>
        <w:spacing w:lineRule="auto" w:line="240" w:before="0" w:after="0"/>
        <w:jc w:val="both"/>
        <w:rPr>
          <w:rFonts w:ascii="Times New Roman" w:hAnsi="Times New Roman" w:cs="Arial" w:cstheme="minorHAnsi"/>
        </w:rPr>
      </w:pPr>
      <w:r>
        <w:rPr>
          <w:rFonts w:cs="Arial" w:cstheme="minorHAnsi" w:ascii="Times New Roman" w:hAnsi="Times New Roman"/>
        </w:rPr>
      </w:r>
    </w:p>
    <w:p>
      <w:pPr>
        <w:pStyle w:val="ListParagraph"/>
        <w:numPr>
          <w:ilvl w:val="0"/>
          <w:numId w:val="16"/>
        </w:numPr>
        <w:tabs>
          <w:tab w:val="clear" w:pos="709"/>
          <w:tab w:val="decimal" w:pos="7230" w:leader="dot"/>
        </w:tabs>
        <w:spacing w:lineRule="auto" w:line="276" w:before="0" w:after="0"/>
        <w:ind w:hanging="284" w:start="284"/>
        <w:contextualSpacing/>
        <w:jc w:val="both"/>
        <w:rPr>
          <w:rFonts w:ascii="Times New Roman" w:hAnsi="Times New Roman"/>
        </w:rPr>
      </w:pPr>
      <w:r>
        <w:rPr>
          <w:rFonts w:cs="Arial" w:ascii="Times New Roman" w:hAnsi="Times New Roman" w:cstheme="minorHAnsi"/>
        </w:rPr>
        <w:t>Wybrany Wykonawca jest zobowiązany do zawarcia umowy w sprawie zamówienia publicznego na warunkach określonych w projekcie umowy stanowiącym załącznik nr 4 do SWZ.</w:t>
      </w:r>
    </w:p>
    <w:p>
      <w:pPr>
        <w:pStyle w:val="ListParagraph"/>
        <w:numPr>
          <w:ilvl w:val="0"/>
          <w:numId w:val="16"/>
        </w:numPr>
        <w:tabs>
          <w:tab w:val="clear" w:pos="709"/>
          <w:tab w:val="decimal" w:pos="7230" w:leader="dot"/>
        </w:tabs>
        <w:spacing w:lineRule="auto" w:line="276" w:before="0" w:after="0"/>
        <w:ind w:hanging="284" w:start="284"/>
        <w:contextualSpacing/>
        <w:jc w:val="both"/>
        <w:rPr>
          <w:rFonts w:ascii="Times New Roman" w:hAnsi="Times New Roman"/>
        </w:rPr>
      </w:pPr>
      <w:r>
        <w:rPr>
          <w:rFonts w:cs="Arial" w:ascii="Times New Roman" w:hAnsi="Times New Roman" w:cstheme="minorHAnsi"/>
        </w:rPr>
        <w:t>Zakres świadczenia Wykonawcy wynikający z umowy jest tożsamy z jego zobowiązaniem zawartym w ofercie.</w:t>
      </w:r>
    </w:p>
    <w:p>
      <w:pPr>
        <w:pStyle w:val="ListParagraph"/>
        <w:numPr>
          <w:ilvl w:val="0"/>
          <w:numId w:val="16"/>
        </w:numPr>
        <w:tabs>
          <w:tab w:val="clear" w:pos="709"/>
          <w:tab w:val="decimal" w:pos="7230" w:leader="dot"/>
        </w:tabs>
        <w:spacing w:lineRule="auto" w:line="276" w:before="0" w:after="0"/>
        <w:ind w:hanging="284" w:start="284"/>
        <w:contextualSpacing/>
        <w:jc w:val="both"/>
        <w:rPr>
          <w:rFonts w:ascii="Times New Roman" w:hAnsi="Times New Roman"/>
        </w:rPr>
      </w:pPr>
      <w:r>
        <w:rPr>
          <w:rFonts w:cs="Arial" w:ascii="Times New Roman" w:hAnsi="Times New Roman" w:cstheme="minorHAnsi"/>
        </w:rPr>
        <w:t>Zamawiający przewiduje możliwość zmiany zawartej umowy w stosunku do treści wybranej oferty w zakresie uregulowanym w art. 454 -455 ustawy Pzp oraz wskazanym w projekcie umowy na warunkach tam wskazanych.</w:t>
      </w:r>
    </w:p>
    <w:p>
      <w:pPr>
        <w:pStyle w:val="ListParagraph"/>
        <w:numPr>
          <w:ilvl w:val="0"/>
          <w:numId w:val="16"/>
        </w:numPr>
        <w:tabs>
          <w:tab w:val="clear" w:pos="709"/>
          <w:tab w:val="decimal" w:pos="7230" w:leader="dot"/>
        </w:tabs>
        <w:spacing w:lineRule="auto" w:line="276" w:before="0" w:after="0"/>
        <w:ind w:hanging="284" w:start="284"/>
        <w:contextualSpacing/>
        <w:jc w:val="both"/>
        <w:rPr>
          <w:rFonts w:ascii="Times New Roman" w:hAnsi="Times New Roman"/>
        </w:rPr>
      </w:pPr>
      <w:r>
        <w:rPr>
          <w:rFonts w:cs="Arial" w:ascii="Times New Roman" w:hAnsi="Times New Roman" w:cstheme="minorHAnsi"/>
        </w:rPr>
        <w:t xml:space="preserve">Zmiana umowy wymaga dla swej ważności, pod rygorem nieważności, zachowania formy pisemnej. </w:t>
      </w:r>
    </w:p>
    <w:tbl>
      <w:tblPr>
        <w:tblW w:w="9638" w:type="dxa"/>
        <w:jc w:val="start"/>
        <w:tblInd w:w="57" w:type="dxa"/>
        <w:tblLayout w:type="fixed"/>
        <w:tblCellMar>
          <w:top w:w="55" w:type="dxa"/>
          <w:start w:w="55" w:type="dxa"/>
          <w:bottom w:w="55" w:type="dxa"/>
          <w:end w:w="55" w:type="dxa"/>
        </w:tblCellMar>
      </w:tblPr>
      <w:tblGrid>
        <w:gridCol w:w="9638"/>
      </w:tblGrid>
      <w:tr>
        <w:trPr/>
        <w:tc>
          <w:tcPr>
            <w:tcW w:w="9638" w:type="dxa"/>
            <w:tcBorders>
              <w:top w:val="single" w:sz="2" w:space="0" w:color="000000"/>
              <w:start w:val="single" w:sz="2" w:space="0" w:color="000000"/>
              <w:bottom w:val="single" w:sz="2" w:space="0" w:color="000000"/>
              <w:end w:val="single" w:sz="2" w:space="0" w:color="000000"/>
            </w:tcBorders>
          </w:tcPr>
          <w:p>
            <w:pPr>
              <w:pStyle w:val="Normal"/>
              <w:widowControl w:val="false"/>
              <w:bidi w:val="0"/>
              <w:spacing w:lineRule="auto" w:line="276"/>
              <w:jc w:val="both"/>
              <w:rPr/>
            </w:pPr>
            <w:r>
              <w:rPr>
                <w:rStyle w:val="Domylnaczcionkaakapitu"/>
                <w:rFonts w:cs="Times New Roman" w:ascii="Times New Roman" w:hAnsi="Times New Roman"/>
                <w:b/>
                <w:bCs/>
                <w:color w:val="1C1C1C"/>
                <w:sz w:val="22"/>
                <w:szCs w:val="22"/>
                <w:u w:val="none"/>
                <w:shd w:fill="808080" w:val="clear"/>
              </w:rPr>
              <w:t>ROZDZIAŁ XV INFORMACJE O ŚRODKACH KOMUNIKACJI ELEKTRONICZNEJ, PRZY U</w:t>
            </w:r>
            <w:r>
              <w:rPr>
                <w:rStyle w:val="Domylnaczcionkaakapitu"/>
                <w:rFonts w:cs="Times New Roman" w:ascii="Times New Roman" w:hAnsi="Times New Roman"/>
                <w:b/>
                <w:bCs/>
                <w:color w:val="1C1C1C"/>
                <w:sz w:val="22"/>
                <w:szCs w:val="22"/>
                <w:shd w:fill="808080" w:val="clear"/>
              </w:rPr>
              <w:t>ŻYCIU KTÓRYCH ZAMAWIAJĄCY BĘDZIE KOMUNIKOWAŁ SIĘ Z WYKONAWCAMI, ORAZ INFORMACJE O WYMAGANIACH TECHNICZNYCH I ORGANIZACYJNYCH SPORZĄDZANIA, WYSYŁANIA I ODBIERANIA KORESPONDENCJI ELEKTRONICZNEJ.</w:t>
            </w:r>
          </w:p>
        </w:tc>
      </w:tr>
    </w:tbl>
    <w:p>
      <w:pPr>
        <w:pStyle w:val="Normal"/>
        <w:tabs>
          <w:tab w:val="clear" w:pos="709"/>
          <w:tab w:val="decimal" w:pos="6946" w:leader="dot"/>
        </w:tabs>
        <w:bidi w:val="0"/>
        <w:spacing w:lineRule="auto" w:line="240" w:before="0" w:after="0"/>
        <w:jc w:val="both"/>
        <w:rPr>
          <w:rFonts w:ascii="Times New Roman" w:hAnsi="Times New Roman" w:cs="Arial" w:cstheme="minorHAnsi"/>
        </w:rPr>
      </w:pPr>
      <w:r>
        <w:rPr>
          <w:rFonts w:cs="Arial" w:cstheme="minorHAnsi" w:ascii="Times New Roman" w:hAnsi="Times New Roman"/>
        </w:rPr>
      </w:r>
    </w:p>
    <w:p>
      <w:pPr>
        <w:pStyle w:val="Normal"/>
        <w:bidi w:val="0"/>
        <w:spacing w:lineRule="auto" w:line="276"/>
        <w:jc w:val="both"/>
        <w:rPr>
          <w:rFonts w:ascii="Times New Roman" w:hAnsi="Times New Roman" w:cs="Times New Roman"/>
          <w:b/>
          <w:bCs/>
          <w:color w:val="1C1C1C"/>
          <w:sz w:val="24"/>
          <w:szCs w:val="24"/>
          <w:highlight w:val="none"/>
          <w:shd w:fill="auto" w:val="clear"/>
        </w:rPr>
      </w:pPr>
      <w:r>
        <w:rPr>
          <w:rFonts w:cs="Times New Roman" w:ascii="Times New Roman" w:hAnsi="Times New Roman"/>
          <w:b/>
          <w:bCs/>
          <w:color w:val="1C1C1C"/>
          <w:sz w:val="24"/>
          <w:szCs w:val="24"/>
          <w:shd w:fill="auto" w:val="clear"/>
        </w:rPr>
      </w:r>
    </w:p>
    <w:p>
      <w:pPr>
        <w:pStyle w:val="Standard"/>
        <w:numPr>
          <w:ilvl w:val="0"/>
          <w:numId w:val="77"/>
        </w:numPr>
        <w:tabs>
          <w:tab w:val="clear" w:pos="709"/>
        </w:tabs>
        <w:spacing w:lineRule="auto" w:line="276"/>
        <w:ind w:hanging="360" w:start="426" w:end="0"/>
        <w:jc w:val="both"/>
        <w:rPr/>
      </w:pPr>
      <w:r>
        <w:rPr>
          <w:rStyle w:val="Domylnaczcionkaakapitu"/>
          <w:rFonts w:eastAsia="Times New Roman" w:cs="Times New Roman" w:ascii="Times New Roman" w:hAnsi="Times New Roman"/>
          <w:color w:val="1C1C1C"/>
          <w:sz w:val="22"/>
          <w:szCs w:val="22"/>
        </w:rPr>
        <w:t xml:space="preserve">Komunikacja w postępowaniu o udzielenie zamówienia odbywa się przy użyciu środków komunikacji elektronicznej, przy użyciu Platformy e-Zamówienia, która dostępna jest pod </w:t>
      </w:r>
      <w:r>
        <w:rPr>
          <w:rStyle w:val="Domylnaczcionkaakapitu"/>
          <w:rFonts w:eastAsia="Times New Roman" w:cs="Times New Roman" w:ascii="Times New Roman" w:hAnsi="Times New Roman"/>
          <w:b/>
          <w:bCs/>
          <w:color w:val="1C1C1C"/>
          <w:sz w:val="22"/>
          <w:szCs w:val="22"/>
        </w:rPr>
        <w:t xml:space="preserve">adresem </w:t>
      </w:r>
      <w:hyperlink r:id="rId4" w:tgtFrame="_top">
        <w:r>
          <w:rPr>
            <w:rStyle w:val="Hyperlink"/>
            <w:rFonts w:eastAsia="Times New Roman" w:cs="Times New Roman" w:ascii="Times New Roman" w:hAnsi="Times New Roman"/>
            <w:b/>
            <w:bCs/>
            <w:color w:val="1C1C1C"/>
            <w:sz w:val="22"/>
            <w:szCs w:val="22"/>
          </w:rPr>
          <w:t>https://ezamowienia.gov.pl</w:t>
        </w:r>
      </w:hyperlink>
    </w:p>
    <w:p>
      <w:pPr>
        <w:pStyle w:val="Akapitzlist1"/>
        <w:tabs>
          <w:tab w:val="left" w:pos="3210" w:leader="none"/>
        </w:tabs>
        <w:spacing w:lineRule="auto" w:line="276"/>
        <w:ind w:hanging="0" w:start="1212" w:end="0"/>
        <w:jc w:val="both"/>
        <w:rPr/>
      </w:pPr>
      <w:r>
        <w:rPr>
          <w:rStyle w:val="Domylnaczcionkaakapitu"/>
          <w:rFonts w:ascii="Times New Roman" w:hAnsi="Times New Roman"/>
          <w:color w:val="1C1C1C"/>
          <w:sz w:val="22"/>
          <w:szCs w:val="22"/>
        </w:rPr>
        <w:t xml:space="preserve">1)Wykonawca zamierzający wziąć udział w postępowaniu o udzielenie zamówienia publicznego, </w:t>
      </w:r>
      <w:r>
        <w:rPr>
          <w:rStyle w:val="Domylnaczcionkaakapitu"/>
          <w:rFonts w:ascii="Times New Roman" w:hAnsi="Times New Roman"/>
          <w:color w:val="1C1C1C"/>
          <w:sz w:val="22"/>
          <w:szCs w:val="22"/>
          <w:u w:val="single"/>
        </w:rPr>
        <w:t>musi posiadać konto podmiotu Wykonawca</w:t>
      </w:r>
      <w:r>
        <w:rPr>
          <w:rStyle w:val="Domylnaczcionkaakapitu"/>
          <w:rFonts w:ascii="Times New Roman" w:hAnsi="Times New Roman"/>
          <w:color w:val="1C1C1C"/>
          <w:sz w:val="22"/>
          <w:szCs w:val="22"/>
        </w:rPr>
        <w:t xml:space="preserve"> na Platformie e-Zamówienia. Szczegółowe informacje na temat zakładania kont podmiotów oraz zasady i warunki korzystania z Platformy e-Zamówienia określa Regulamin Platformy e-Zamówienia, dostępny na stronie internetowej </w:t>
      </w:r>
      <w:hyperlink r:id="rId5" w:tgtFrame="_top">
        <w:r>
          <w:rPr>
            <w:rStyle w:val="Hyperlink"/>
            <w:rFonts w:ascii="Times New Roman" w:hAnsi="Times New Roman"/>
            <w:b/>
            <w:bCs/>
            <w:color w:val="1C1C1C"/>
            <w:sz w:val="22"/>
            <w:szCs w:val="22"/>
          </w:rPr>
          <w:t>https://ezamowienia.gov.pl</w:t>
        </w:r>
      </w:hyperlink>
      <w:r>
        <w:rPr>
          <w:rStyle w:val="Domylnaczcionkaakapitu"/>
          <w:rFonts w:ascii="Times New Roman" w:hAnsi="Times New Roman"/>
          <w:color w:val="1C1C1C"/>
          <w:sz w:val="22"/>
          <w:szCs w:val="22"/>
        </w:rPr>
        <w:t xml:space="preserve"> oraz w zakładce „Centrum Pomocy”.</w:t>
      </w:r>
    </w:p>
    <w:p>
      <w:pPr>
        <w:pStyle w:val="Akapitzlist1"/>
        <w:tabs>
          <w:tab w:val="left" w:pos="3210" w:leader="none"/>
        </w:tabs>
        <w:spacing w:lineRule="auto" w:line="276"/>
        <w:ind w:hanging="0" w:start="1212" w:end="0"/>
        <w:jc w:val="both"/>
        <w:rPr/>
      </w:pPr>
      <w:r>
        <w:rPr>
          <w:rStyle w:val="Domylnaczcionkaakapitu"/>
          <w:rFonts w:ascii="Times New Roman" w:hAnsi="Times New Roman"/>
          <w:color w:val="1C1C1C"/>
          <w:sz w:val="22"/>
          <w:szCs w:val="22"/>
        </w:rPr>
        <w:t>2) Wszelka korespondencja kierowana do zamawiającego powinna być sygnowana wskazanym nr referencyjnym sprawy -</w:t>
      </w:r>
      <w:r>
        <w:rPr>
          <w:rStyle w:val="Domylnaczcionkaakapitu"/>
          <w:rFonts w:ascii="Times New Roman" w:hAnsi="Times New Roman"/>
          <w:b/>
          <w:bCs/>
          <w:i/>
          <w:iCs/>
          <w:color w:val="1F497D"/>
          <w:sz w:val="22"/>
          <w:szCs w:val="22"/>
          <w:lang w:val="de-DE"/>
        </w:rPr>
        <w:t xml:space="preserve"> </w:t>
      </w:r>
      <w:r>
        <w:rPr>
          <w:rStyle w:val="Domylnaczcionkaakapitu"/>
          <w:rFonts w:ascii="Times New Roman" w:hAnsi="Times New Roman"/>
          <w:b/>
          <w:bCs/>
          <w:i/>
          <w:iCs/>
          <w:color w:val="000000"/>
          <w:sz w:val="22"/>
          <w:szCs w:val="22"/>
          <w:lang w:val="de-DE"/>
        </w:rPr>
        <w:t xml:space="preserve"> ZP1/03/2026 R.</w:t>
      </w:r>
    </w:p>
    <w:p>
      <w:pPr>
        <w:pStyle w:val="Akapitzlist1"/>
        <w:tabs>
          <w:tab w:val="left" w:pos="3210" w:leader="none"/>
        </w:tabs>
        <w:spacing w:lineRule="auto" w:line="276"/>
        <w:ind w:hanging="0" w:start="1212" w:end="0"/>
        <w:jc w:val="both"/>
        <w:rPr/>
      </w:pPr>
      <w:r>
        <w:rPr>
          <w:rStyle w:val="Domylnaczcionkaakapitu"/>
          <w:rFonts w:ascii="Times New Roman" w:hAnsi="Times New Roman"/>
          <w:color w:val="1C1C1C"/>
          <w:sz w:val="22"/>
          <w:szCs w:val="22"/>
        </w:rPr>
        <w:t xml:space="preserve">3) Jeżeli dokumenty </w:t>
      </w:r>
      <w:r>
        <w:rPr>
          <w:rStyle w:val="Domylnaczcionkaakapitu"/>
          <w:rFonts w:ascii="Times New Roman" w:hAnsi="Times New Roman"/>
          <w:color w:val="1C1C1C"/>
          <w:sz w:val="22"/>
          <w:szCs w:val="22"/>
          <w:lang w:eastAsia="pl-PL"/>
        </w:rPr>
        <w:t>elektroniczne, przekazywane przy użyciu środków komunikacji elektronicznej, zawierają informacje stanowiące tajemnicę przedsiębiorstwa w rozumieniu przepisów ustawy z dnia 16 kwietnia 1993 r. o zwalczaniu nieuczciwej konkurencji (t.j.  Dz. U. z 2022  r. poz. 1233) wykonawca, w celu utrzymania w poufności tych informacji, przekazuje je w wydzielonym i odpowiednio oznaczonym pliku, wraz z jednoczesnym zaznaczeniem w nazwie pliku „Dokument stanowiący tajemnicę przedsiębiorstwa”.</w:t>
      </w:r>
    </w:p>
    <w:p>
      <w:pPr>
        <w:pStyle w:val="Akapitzlist1"/>
        <w:tabs>
          <w:tab w:val="left" w:pos="1800" w:leader="none"/>
        </w:tabs>
        <w:spacing w:lineRule="auto" w:line="276"/>
        <w:ind w:hanging="0" w:start="0" w:end="0"/>
        <w:jc w:val="both"/>
        <w:rPr/>
      </w:pPr>
      <w:r>
        <w:rPr>
          <w:rStyle w:val="Domylnaczcionkaakapitu"/>
          <w:rFonts w:ascii="Times New Roman" w:hAnsi="Times New Roman"/>
          <w:color w:val="1C1C1C"/>
          <w:sz w:val="22"/>
          <w:szCs w:val="22"/>
        </w:rPr>
        <w:t xml:space="preserve">2.  Komunikacja </w:t>
      </w:r>
      <w:r>
        <w:rPr>
          <w:rStyle w:val="Domylnaczcionkaakapitu"/>
          <w:rFonts w:ascii="Times New Roman" w:hAnsi="Times New Roman"/>
          <w:color w:val="1C1C1C"/>
          <w:sz w:val="22"/>
          <w:szCs w:val="22"/>
          <w:lang w:eastAsia="pl-PL"/>
        </w:rPr>
        <w:t xml:space="preserve">w postępowaniu, </w:t>
      </w:r>
      <w:r>
        <w:rPr>
          <w:rStyle w:val="Domylnaczcionkaakapitu"/>
          <w:rFonts w:ascii="Times New Roman" w:hAnsi="Times New Roman"/>
          <w:b/>
          <w:bCs/>
          <w:color w:val="1C1C1C"/>
          <w:sz w:val="22"/>
          <w:szCs w:val="22"/>
          <w:lang w:eastAsia="pl-PL"/>
        </w:rPr>
        <w:t xml:space="preserve">z wyłączeniem składania ofert </w:t>
      </w:r>
      <w:r>
        <w:rPr>
          <w:rStyle w:val="Domylnaczcionkaakapitu"/>
          <w:rFonts w:ascii="Times New Roman" w:hAnsi="Times New Roman"/>
          <w:color w:val="1C1C1C"/>
          <w:sz w:val="22"/>
          <w:szCs w:val="22"/>
          <w:lang w:eastAsia="pl-PL"/>
        </w:rPr>
        <w:t>odbywa się drogą elektroniczną za pośrednictwem</w:t>
      </w:r>
      <w:r>
        <w:rPr>
          <w:rStyle w:val="Domylnaczcionkaakapitu"/>
          <w:rFonts w:ascii="Times New Roman" w:hAnsi="Times New Roman"/>
          <w:b/>
          <w:bCs/>
          <w:color w:val="1C1C1C"/>
          <w:sz w:val="22"/>
          <w:szCs w:val="22"/>
          <w:lang w:eastAsia="pl-PL"/>
        </w:rPr>
        <w:t xml:space="preserve">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pPr>
        <w:pStyle w:val="Akapitzlist1"/>
        <w:spacing w:lineRule="auto" w:line="276"/>
        <w:ind w:hanging="0" w:start="0" w:end="0"/>
        <w:jc w:val="both"/>
        <w:rPr/>
      </w:pPr>
      <w:r>
        <w:rPr>
          <w:rStyle w:val="Domylnaczcionkaakapitu"/>
          <w:rFonts w:ascii="Times New Roman" w:hAnsi="Times New Roman"/>
          <w:color w:val="1C1C1C"/>
          <w:sz w:val="22"/>
          <w:szCs w:val="22"/>
          <w:lang w:eastAsia="pl-PL"/>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wykonawcy/wykonawców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br/>
        <w:t xml:space="preserve"> </w:t>
      </w:r>
      <w:r>
        <w:rPr>
          <w:rStyle w:val="Domylnaczcionkaakapitu"/>
          <w:rFonts w:ascii="Times New Roman" w:hAnsi="Times New Roman"/>
          <w:color w:val="1C1C1C"/>
          <w:sz w:val="22"/>
          <w:szCs w:val="22"/>
        </w:rPr>
        <w:t>Możliwość korzystania w postępowaniu z „Formularzy do komunikacji” w pełnym zakresie wymag</w:t>
      </w:r>
      <w:r>
        <w:rPr>
          <w:rStyle w:val="Domylnaczcionkaakapitu"/>
          <w:rFonts w:ascii="Times New Roman" w:hAnsi="Times New Roman"/>
          <w:color w:val="1C1C1C"/>
          <w:sz w:val="22"/>
          <w:szCs w:val="22"/>
          <w:u w:val="single"/>
        </w:rPr>
        <w:t xml:space="preserve">a </w:t>
      </w:r>
      <w:r>
        <w:rPr>
          <w:rStyle w:val="Domylnaczcionkaakapitu"/>
          <w:rFonts w:ascii="Times New Roman" w:hAnsi="Times New Roman"/>
          <w:b/>
          <w:bCs/>
          <w:color w:val="1C1C1C"/>
          <w:sz w:val="22"/>
          <w:szCs w:val="22"/>
          <w:u w:val="single"/>
        </w:rPr>
        <w:t>posiadania konta „Wykonawcy” na Platformie e-Zamówienia</w:t>
      </w:r>
    </w:p>
    <w:p>
      <w:pPr>
        <w:pStyle w:val="Standard"/>
        <w:spacing w:lineRule="auto" w:line="276"/>
        <w:jc w:val="both"/>
        <w:rPr/>
      </w:pPr>
      <w:r>
        <w:rPr>
          <w:rStyle w:val="Domylnaczcionkaakapitu"/>
          <w:rFonts w:ascii="Times New Roman" w:hAnsi="Times New Roman"/>
          <w:color w:val="1C1C1C"/>
          <w:sz w:val="22"/>
          <w:szCs w:val="22"/>
          <w:lang w:eastAsia="pl-PL"/>
        </w:rPr>
        <w:t xml:space="preserve">oraz </w:t>
      </w:r>
      <w:r>
        <w:rPr>
          <w:rStyle w:val="Domylnaczcionkaakapitu"/>
          <w:rFonts w:ascii="Times New Roman" w:hAnsi="Times New Roman"/>
          <w:b/>
          <w:bCs/>
          <w:color w:val="1C1C1C"/>
          <w:sz w:val="22"/>
          <w:szCs w:val="22"/>
          <w:lang w:eastAsia="pl-PL"/>
        </w:rPr>
        <w:t xml:space="preserve">zalogowania się na Platformie e-Zamówienia. Do korzystania z „Formularzy do komunikacji” służących do zadawania pytań dotyczących treści dokumentów zamówienia wystarczające jest posiadanie tzw. konta uproszczonego na Platformie </w:t>
        <w:br/>
        <w:t>e-Zamówienia.</w:t>
      </w:r>
    </w:p>
    <w:p>
      <w:pPr>
        <w:pStyle w:val="Standard"/>
        <w:tabs>
          <w:tab w:val="clear" w:pos="709"/>
          <w:tab w:val="left" w:pos="720" w:leader="none"/>
        </w:tabs>
        <w:spacing w:lineRule="auto" w:line="276"/>
        <w:jc w:val="both"/>
        <w:rPr/>
      </w:pPr>
      <w:r>
        <w:rPr>
          <w:rStyle w:val="Domylnaczcionkaakapitu"/>
          <w:rFonts w:ascii="Times New Roman" w:hAnsi="Times New Roman"/>
          <w:color w:val="1C1C1C"/>
          <w:sz w:val="22"/>
          <w:szCs w:val="22"/>
          <w:lang w:eastAsia="pl-PL"/>
        </w:rPr>
        <w:t xml:space="preserve">3. Wszystkie wysłane i odebrane w postępowaniu przez wykonawcę wiadomości widoczne są po zalogowaniu w podglądzie postępowania w zakładce </w:t>
      </w:r>
      <w:r>
        <w:rPr>
          <w:rStyle w:val="Domylnaczcionkaakapitu"/>
          <w:rFonts w:ascii="Times New Roman" w:hAnsi="Times New Roman"/>
          <w:b/>
          <w:bCs/>
          <w:color w:val="1C1C1C"/>
          <w:sz w:val="22"/>
          <w:szCs w:val="22"/>
          <w:lang w:eastAsia="pl-PL"/>
        </w:rPr>
        <w:t>„Komunikacja”.</w:t>
      </w:r>
    </w:p>
    <w:p>
      <w:pPr>
        <w:pStyle w:val="Standard"/>
        <w:tabs>
          <w:tab w:val="clear" w:pos="709"/>
          <w:tab w:val="left" w:pos="720" w:leader="none"/>
        </w:tabs>
        <w:spacing w:lineRule="auto" w:line="276"/>
        <w:jc w:val="both"/>
        <w:rPr>
          <w:rFonts w:ascii="Times New Roman" w:hAnsi="Times New Roman"/>
        </w:rPr>
      </w:pPr>
      <w:r>
        <w:rPr>
          <w:rFonts w:ascii="Times New Roman" w:hAnsi="Times New Roman"/>
          <w:color w:val="1C1C1C"/>
          <w:sz w:val="22"/>
          <w:szCs w:val="22"/>
          <w:lang w:eastAsia="pl-PL"/>
        </w:rPr>
        <w:t>4. Maksymalny rozmiar plików przesyłanych za pośrednictwem „Formularzy do komunikacji” wynosi 150 MB (wielkość ta dotyczy plików przesyłanych jako załączniki do jednego formularza).</w:t>
      </w:r>
    </w:p>
    <w:p>
      <w:pPr>
        <w:pStyle w:val="Standard"/>
        <w:tabs>
          <w:tab w:val="clear" w:pos="709"/>
          <w:tab w:val="left" w:pos="720" w:leader="none"/>
        </w:tabs>
        <w:spacing w:lineRule="auto" w:line="276"/>
        <w:jc w:val="both"/>
        <w:rPr/>
      </w:pPr>
      <w:r>
        <w:rPr>
          <w:rStyle w:val="Domylnaczcionkaakapitu"/>
          <w:rFonts w:ascii="Times New Roman" w:hAnsi="Times New Roman"/>
          <w:color w:val="1C1C1C"/>
          <w:sz w:val="22"/>
          <w:szCs w:val="22"/>
          <w:lang w:eastAsia="pl-PL"/>
        </w:rPr>
        <w:t xml:space="preserve">5. Minimalne wymagania techniczne dotyczące sprzętu używanego w celu korzystania z usług Platformy e-Zamówienia oraz informacje dotyczące specyfikacji połączenia określa </w:t>
      </w:r>
      <w:r>
        <w:rPr>
          <w:rStyle w:val="Domylnaczcionkaakapitu"/>
          <w:rFonts w:ascii="Times New Roman" w:hAnsi="Times New Roman"/>
          <w:i/>
          <w:iCs/>
          <w:color w:val="1C1C1C"/>
          <w:sz w:val="22"/>
          <w:szCs w:val="22"/>
          <w:lang w:eastAsia="pl-PL"/>
        </w:rPr>
        <w:t>Regulamin Platformy e-Zamówienia.</w:t>
      </w:r>
    </w:p>
    <w:p>
      <w:pPr>
        <w:pStyle w:val="Standard"/>
        <w:tabs>
          <w:tab w:val="clear" w:pos="709"/>
          <w:tab w:val="left" w:pos="720" w:leader="none"/>
        </w:tabs>
        <w:spacing w:lineRule="auto" w:line="276"/>
        <w:jc w:val="both"/>
        <w:rPr/>
      </w:pPr>
      <w:r>
        <w:rPr>
          <w:rStyle w:val="Domylnaczcionkaakapitu"/>
          <w:rFonts w:ascii="Times New Roman" w:hAnsi="Times New Roman"/>
          <w:i/>
          <w:iCs/>
          <w:color w:val="1C1C1C"/>
          <w:sz w:val="22"/>
          <w:szCs w:val="22"/>
          <w:lang w:eastAsia="pl-PL"/>
        </w:rPr>
        <w:t xml:space="preserve">6. W przypadku </w:t>
      </w:r>
      <w:r>
        <w:rPr>
          <w:rStyle w:val="Domylnaczcionkaakapitu"/>
          <w:rFonts w:ascii="Times New Roman" w:hAnsi="Times New Roman"/>
          <w:color w:val="1C1C1C"/>
          <w:sz w:val="22"/>
          <w:szCs w:val="22"/>
          <w:lang w:eastAsia="pl-PL"/>
        </w:rPr>
        <w:t xml:space="preserve">problemów technicznych i awarii związanych z funkcjonowaniem Platformy </w:t>
        <w:br/>
        <w:t xml:space="preserve">e-Zamówienia użytkownicy mogą skorzystać ze wsparcia technicznego  drogą elektroniczną poprzez formularz udostępniony na stronie internetowej https://ezamowienia.gov.pl </w:t>
        <w:br/>
        <w:t>w zakładce „Zgłoś problem”.</w:t>
      </w:r>
    </w:p>
    <w:p>
      <w:pPr>
        <w:pStyle w:val="Standard"/>
        <w:tabs>
          <w:tab w:val="clear" w:pos="709"/>
          <w:tab w:val="left" w:pos="720" w:leader="none"/>
        </w:tabs>
        <w:spacing w:lineRule="auto" w:line="276"/>
        <w:jc w:val="both"/>
        <w:rPr/>
      </w:pPr>
      <w:r>
        <w:rPr>
          <w:rStyle w:val="Domylnaczcionkaakapitu"/>
          <w:rFonts w:ascii="Times New Roman" w:hAnsi="Times New Roman"/>
          <w:i/>
          <w:iCs/>
          <w:color w:val="1C1C1C"/>
          <w:sz w:val="22"/>
          <w:szCs w:val="22"/>
          <w:lang w:eastAsia="pl-PL"/>
        </w:rPr>
        <w:t xml:space="preserve">7. W </w:t>
      </w:r>
      <w:r>
        <w:rPr>
          <w:rStyle w:val="Domylnaczcionkaakapitu"/>
          <w:rFonts w:ascii="Times New Roman" w:hAnsi="Times New Roman"/>
          <w:color w:val="1C1C1C"/>
          <w:sz w:val="22"/>
          <w:szCs w:val="22"/>
        </w:rPr>
        <w:t xml:space="preserve">szczególnie uzasadnionych przypadkach uniemożliwiających komunikację wykonawcy </w:t>
        <w:br/>
        <w:t>i zamawiającego za pośrednictwem Platformy e-Zamówienia, Zamawiający dopuszcza komunikację za pomocą poczty elektronicznej na adres e-mail:</w:t>
      </w:r>
      <w:r>
        <w:rPr>
          <w:rStyle w:val="Domylnaczcionkaakapitu"/>
          <w:rFonts w:ascii="Times New Roman" w:hAnsi="Times New Roman"/>
          <w:i/>
          <w:iCs/>
          <w:color w:val="1C1C1C"/>
          <w:sz w:val="22"/>
          <w:szCs w:val="22"/>
          <w:u w:val="single"/>
        </w:rPr>
        <w:t xml:space="preserve"> </w:t>
      </w:r>
      <w:r>
        <w:rPr>
          <w:rStyle w:val="Domylnaczcionkaakapitu"/>
          <w:rFonts w:eastAsia="Times New Roman" w:cs="Arial" w:ascii="Times New Roman" w:hAnsi="Times New Roman" w:cstheme="minorHAnsi"/>
          <w:i/>
          <w:iCs/>
          <w:color w:val="1C1C1C"/>
          <w:sz w:val="22"/>
          <w:szCs w:val="22"/>
          <w:u w:val="single"/>
          <w:lang w:val="en-US" w:eastAsia="pl-PL"/>
        </w:rPr>
        <w:t>sekretariat@sp13.glogow.pl</w:t>
      </w:r>
    </w:p>
    <w:p>
      <w:pPr>
        <w:pStyle w:val="Standard"/>
        <w:tabs>
          <w:tab w:val="clear" w:pos="709"/>
          <w:tab w:val="left" w:pos="720" w:leader="none"/>
        </w:tabs>
        <w:spacing w:lineRule="auto" w:line="276"/>
        <w:jc w:val="both"/>
        <w:rPr/>
      </w:pPr>
      <w:r>
        <w:rPr>
          <w:rStyle w:val="Domylnaczcionkaakapitu"/>
          <w:rFonts w:ascii="Times New Roman" w:hAnsi="Times New Roman"/>
          <w:b/>
          <w:bCs/>
          <w:color w:val="1C1C1C"/>
          <w:sz w:val="22"/>
          <w:szCs w:val="22"/>
          <w:u w:val="single"/>
        </w:rPr>
        <w:t>nie dotyczy składania ofert )</w:t>
      </w:r>
    </w:p>
    <w:p>
      <w:pPr>
        <w:pStyle w:val="Standard"/>
        <w:tabs>
          <w:tab w:val="clear" w:pos="709"/>
          <w:tab w:val="left" w:pos="720" w:leader="none"/>
        </w:tabs>
        <w:spacing w:lineRule="auto" w:line="276"/>
        <w:jc w:val="both"/>
        <w:rPr>
          <w:rFonts w:ascii="Times New Roman" w:hAnsi="Times New Roman"/>
        </w:rPr>
      </w:pPr>
      <w:r>
        <w:rPr>
          <w:rFonts w:ascii="Times New Roman" w:hAnsi="Times New Roman"/>
          <w:color w:val="1C1C1C"/>
          <w:sz w:val="22"/>
          <w:szCs w:val="22"/>
        </w:rPr>
        <w:t>8. Korzystanie z Platformy e-Zamówienia jest bezpłatne.</w:t>
      </w:r>
    </w:p>
    <w:p>
      <w:pPr>
        <w:pStyle w:val="Akapitzlist1"/>
        <w:tabs>
          <w:tab w:val="left" w:pos="1428" w:leader="none"/>
        </w:tabs>
        <w:spacing w:lineRule="auto" w:line="276"/>
        <w:ind w:hanging="0" w:start="0" w:end="0"/>
        <w:jc w:val="both"/>
        <w:rPr>
          <w:rFonts w:ascii="Times New Roman" w:hAnsi="Times New Roman"/>
        </w:rPr>
      </w:pPr>
      <w:r>
        <w:rPr>
          <w:rFonts w:cs="Arial" w:ascii="Times New Roman" w:hAnsi="Times New Roman"/>
          <w:b/>
          <w:bCs/>
          <w:color w:val="1C1C1C"/>
          <w:sz w:val="22"/>
          <w:szCs w:val="22"/>
        </w:rPr>
        <w:t xml:space="preserve">9.  Sposób sporządzenia dokumentów elektronicznych, oświadczeń lub elektronicznych kopii dokumentów lub oświadczeń musi być zgodny z wymaganiami określonymi </w:t>
        <w:b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w:t>
      </w:r>
    </w:p>
    <w:p>
      <w:pPr>
        <w:pStyle w:val="Normal"/>
        <w:bidi w:val="0"/>
        <w:spacing w:lineRule="auto" w:line="276" w:before="0" w:after="0"/>
        <w:ind w:hanging="0" w:start="284"/>
        <w:jc w:val="both"/>
        <w:rPr>
          <w:rFonts w:ascii="Times New Roman" w:hAnsi="Times New Roman" w:eastAsia="Calibri" w:cs="Calibri"/>
        </w:rPr>
      </w:pPr>
      <w:r>
        <w:rPr>
          <w:rFonts w:eastAsia="Calibri" w:cs="Calibri" w:ascii="Times New Roman" w:hAnsi="Times New Roman"/>
        </w:rPr>
      </w:r>
    </w:p>
    <w:tbl>
      <w:tblPr>
        <w:tblStyle w:val="Tabela-Siatka"/>
        <w:tblW w:w="10065" w:type="dxa"/>
        <w:jc w:val="center"/>
        <w:tblInd w:w="0" w:type="dxa"/>
        <w:tblLayout w:type="fixed"/>
        <w:tblCellMar>
          <w:top w:w="0" w:type="dxa"/>
          <w:start w:w="108" w:type="dxa"/>
          <w:bottom w:w="0" w:type="dxa"/>
          <w:end w:w="108" w:type="dxa"/>
        </w:tblCellMar>
        <w:tblLook w:firstRow="1" w:noVBand="1" w:lastRow="0" w:firstColumn="1" w:lastColumn="0" w:noHBand="0" w:val="04a0"/>
      </w:tblPr>
      <w:tblGrid>
        <w:gridCol w:w="10065"/>
      </w:tblGrid>
      <w:tr>
        <w:trPr>
          <w:trHeight w:val="656" w:hRule="atLeast"/>
        </w:trPr>
        <w:tc>
          <w:tcPr>
            <w:tcW w:w="10065" w:type="dxa"/>
            <w:tcBorders/>
            <w:shd w:color="auto" w:fill="D9D9D9" w:themeFill="background1" w:themeFillShade="d9" w:val="clear"/>
            <w:vAlign w:val="center"/>
          </w:tcPr>
          <w:p>
            <w:pPr>
              <w:pStyle w:val="ListParagraph"/>
              <w:widowControl w:val="false"/>
              <w:numPr>
                <w:ilvl w:val="0"/>
                <w:numId w:val="0"/>
              </w:numPr>
              <w:tabs>
                <w:tab w:val="clear" w:pos="709"/>
                <w:tab w:val="left" w:pos="1549" w:leader="none"/>
              </w:tabs>
              <w:suppressAutoHyphens w:val="true"/>
              <w:spacing w:lineRule="auto" w:line="240" w:before="0" w:after="0"/>
              <w:ind w:hanging="0" w:start="1102"/>
              <w:contextualSpacing/>
              <w:jc w:val="both"/>
              <w:rPr>
                <w:rFonts w:ascii="Times New Roman" w:hAnsi="Times New Roman" w:cs=""/>
                <w:b/>
                <w:bCs/>
                <w:caps/>
                <w:sz w:val="24"/>
                <w:szCs w:val="24"/>
              </w:rPr>
            </w:pPr>
            <w:r>
              <w:rPr>
                <w:rFonts w:eastAsia="Calibri" w:cs="Arial" w:ascii="Times New Roman" w:hAnsi="Times New Roman" w:cstheme="minorHAnsi"/>
                <w:b/>
                <w:bCs/>
                <w:caps/>
                <w:kern w:val="0"/>
                <w:sz w:val="24"/>
                <w:szCs w:val="24"/>
                <w:lang w:val="pl-PL" w:eastAsia="en-US" w:bidi="ar-SA"/>
              </w:rPr>
              <w:t>ROZDZIAŁ XVI wskazanie osób uprawnionych do komunikowania się z wykonawcami</w:t>
            </w:r>
          </w:p>
        </w:tc>
      </w:tr>
    </w:tbl>
    <w:p>
      <w:pPr>
        <w:pStyle w:val="Normal"/>
        <w:tabs>
          <w:tab w:val="clear" w:pos="709"/>
          <w:tab w:val="decimal" w:pos="6946" w:leader="dot"/>
        </w:tabs>
        <w:bidi w:val="0"/>
        <w:spacing w:lineRule="auto" w:line="240" w:before="0" w:after="0"/>
        <w:jc w:val="both"/>
        <w:rPr>
          <w:rFonts w:ascii="Times New Roman" w:hAnsi="Times New Roman" w:cs="Arial" w:cstheme="minorHAnsi"/>
        </w:rPr>
      </w:pPr>
      <w:r>
        <w:rPr>
          <w:rFonts w:cs="Arial" w:cstheme="minorHAnsi" w:ascii="Times New Roman" w:hAnsi="Times New Roman"/>
        </w:rPr>
      </w:r>
    </w:p>
    <w:p>
      <w:pPr>
        <w:pStyle w:val="Normal"/>
        <w:numPr>
          <w:ilvl w:val="0"/>
          <w:numId w:val="17"/>
        </w:numPr>
        <w:tabs>
          <w:tab w:val="clear" w:pos="709"/>
          <w:tab w:val="left" w:pos="568" w:leader="none"/>
        </w:tabs>
        <w:bidi w:val="0"/>
        <w:spacing w:lineRule="auto" w:line="276" w:before="0" w:after="0"/>
        <w:ind w:hanging="284" w:start="284"/>
        <w:jc w:val="both"/>
        <w:rPr>
          <w:rFonts w:ascii="Times New Roman" w:hAnsi="Times New Roman"/>
        </w:rPr>
      </w:pPr>
      <w:r>
        <w:rPr>
          <w:rFonts w:eastAsia="Times New Roman" w:cs="Arial" w:ascii="Times New Roman" w:hAnsi="Times New Roman" w:cstheme="minorHAnsi"/>
          <w:sz w:val="21"/>
          <w:szCs w:val="21"/>
          <w:lang w:eastAsia="pl-PL"/>
        </w:rPr>
        <w:t>Osobami uprawnionymi do porozumiewania się z wykonawcami jest:</w:t>
      </w:r>
    </w:p>
    <w:p>
      <w:pPr>
        <w:pStyle w:val="Normal"/>
        <w:numPr>
          <w:ilvl w:val="0"/>
          <w:numId w:val="18"/>
        </w:numPr>
        <w:tabs>
          <w:tab w:val="clear" w:pos="709"/>
          <w:tab w:val="left" w:pos="1418" w:leader="none"/>
          <w:tab w:val="left" w:pos="2410" w:leader="none"/>
        </w:tabs>
        <w:bidi w:val="0"/>
        <w:spacing w:lineRule="auto" w:line="276" w:before="0" w:after="0"/>
        <w:ind w:hanging="425" w:start="709"/>
        <w:jc w:val="both"/>
        <w:rPr>
          <w:rFonts w:ascii="Times New Roman" w:hAnsi="Times New Roman"/>
        </w:rPr>
      </w:pPr>
      <w:r>
        <w:rPr>
          <w:rFonts w:eastAsia="Times New Roman" w:cs="Arial" w:ascii="Times New Roman" w:hAnsi="Times New Roman" w:cstheme="minorHAnsi"/>
          <w:b/>
          <w:bCs/>
          <w:sz w:val="21"/>
          <w:szCs w:val="21"/>
          <w:lang w:eastAsia="pl-PL"/>
        </w:rPr>
        <w:t>Sylwia Wachal  –;</w:t>
      </w:r>
    </w:p>
    <w:p>
      <w:pPr>
        <w:pStyle w:val="Normal"/>
        <w:numPr>
          <w:ilvl w:val="0"/>
          <w:numId w:val="19"/>
        </w:numPr>
        <w:tabs>
          <w:tab w:val="clear" w:pos="709"/>
          <w:tab w:val="left" w:pos="1418" w:leader="none"/>
          <w:tab w:val="left" w:pos="2836" w:leader="none"/>
        </w:tabs>
        <w:bidi w:val="0"/>
        <w:spacing w:lineRule="auto" w:line="276" w:before="0" w:after="0"/>
        <w:ind w:hanging="425" w:start="709"/>
        <w:jc w:val="both"/>
        <w:rPr>
          <w:rFonts w:ascii="Times New Roman" w:hAnsi="Times New Roman"/>
        </w:rPr>
      </w:pPr>
      <w:r>
        <w:rPr>
          <w:rFonts w:eastAsia="Times New Roman" w:cs="Arial" w:ascii="Times New Roman" w:hAnsi="Times New Roman" w:cstheme="minorHAnsi"/>
          <w:b/>
          <w:bCs/>
          <w:sz w:val="21"/>
          <w:szCs w:val="21"/>
          <w:lang w:val="en-US" w:eastAsia="pl-PL"/>
        </w:rPr>
        <w:t>e-mail: kierownik@sp13.glogow.pl</w:t>
      </w:r>
      <w:bookmarkStart w:id="5" w:name="_GoBack"/>
      <w:bookmarkEnd w:id="5"/>
    </w:p>
    <w:p>
      <w:pPr>
        <w:pStyle w:val="Normal"/>
        <w:numPr>
          <w:ilvl w:val="0"/>
          <w:numId w:val="17"/>
        </w:numPr>
        <w:tabs>
          <w:tab w:val="clear" w:pos="709"/>
          <w:tab w:val="left" w:pos="568" w:leader="none"/>
        </w:tabs>
        <w:bidi w:val="0"/>
        <w:spacing w:lineRule="auto" w:line="276" w:before="0" w:after="0"/>
        <w:ind w:hanging="284" w:start="284"/>
        <w:jc w:val="both"/>
        <w:rPr>
          <w:rFonts w:ascii="Times New Roman" w:hAnsi="Times New Roman"/>
        </w:rPr>
      </w:pPr>
      <w:r>
        <w:rPr>
          <w:rFonts w:eastAsia="Times New Roman" w:cs="Arial" w:ascii="Times New Roman" w:hAnsi="Times New Roman" w:cstheme="minorHAnsi"/>
          <w:b/>
          <w:bCs/>
          <w:sz w:val="21"/>
          <w:szCs w:val="21"/>
          <w:lang w:eastAsia="pl-PL"/>
        </w:rPr>
        <w:t xml:space="preserve">Komunikacja ustna dopuszczalna jest w odniesieniu do informacji, które nie są istotne, </w:t>
        <w:br/>
        <w:t>w szczególności nie dotyczą ogłoszenia o zamówieniu lub SWZ, a także ofert.</w:t>
      </w:r>
    </w:p>
    <w:p>
      <w:pPr>
        <w:pStyle w:val="Textbody"/>
        <w:numPr>
          <w:ilvl w:val="0"/>
          <w:numId w:val="17"/>
        </w:numPr>
        <w:pBdr>
          <w:top w:val="single" w:sz="4" w:space="1" w:color="000000"/>
          <w:left w:val="single" w:sz="4" w:space="4" w:color="000000"/>
          <w:bottom w:val="single" w:sz="4" w:space="1" w:color="000000"/>
          <w:right w:val="single" w:sz="4" w:space="4" w:color="000000"/>
        </w:pBdr>
        <w:shd w:val="clear" w:color="auto" w:fill="D9D9D9"/>
        <w:tabs>
          <w:tab w:val="clear" w:pos="709"/>
          <w:tab w:val="left" w:pos="554" w:leader="none"/>
        </w:tabs>
        <w:spacing w:lineRule="auto" w:line="276"/>
        <w:ind w:hanging="135" w:start="135" w:end="-1"/>
        <w:rPr>
          <w:rFonts w:ascii="Times New Roman" w:hAnsi="Times New Roman"/>
        </w:rPr>
      </w:pPr>
      <w:r>
        <w:rPr>
          <w:rFonts w:cs="Arial" w:ascii="Times New Roman" w:hAnsi="Times New Roman"/>
          <w:b/>
          <w:bCs/>
          <w:sz w:val="22"/>
          <w:szCs w:val="22"/>
        </w:rPr>
        <w:t xml:space="preserve">ROZDZIAŁ XVII - </w:t>
      </w:r>
      <w:r>
        <w:rPr>
          <w:rFonts w:cs="Arial" w:ascii="Times New Roman" w:hAnsi="Times New Roman"/>
          <w:sz w:val="22"/>
          <w:szCs w:val="22"/>
        </w:rPr>
        <w:t>TERMIN ZWIĄZANIA OFERTĄ</w:t>
      </w:r>
    </w:p>
    <w:p>
      <w:pPr>
        <w:pStyle w:val="Textbody"/>
        <w:numPr>
          <w:ilvl w:val="6"/>
          <w:numId w:val="17"/>
        </w:numPr>
        <w:spacing w:lineRule="auto" w:line="276" w:before="60" w:after="60"/>
        <w:ind w:hanging="360" w:start="426" w:end="0"/>
        <w:jc w:val="both"/>
        <w:rPr>
          <w:rFonts w:ascii="Times New Roman" w:hAnsi="Times New Roman"/>
        </w:rPr>
      </w:pPr>
      <w:r>
        <w:rPr>
          <w:rFonts w:cs="Arial" w:ascii="Times New Roman" w:hAnsi="Times New Roman"/>
          <w:sz w:val="21"/>
          <w:szCs w:val="21"/>
        </w:rPr>
        <w:t xml:space="preserve">Wykonawca jest związany ofertą przez okres </w:t>
      </w:r>
      <w:r>
        <w:rPr>
          <w:rFonts w:cs="Arial" w:ascii="Times New Roman" w:hAnsi="Times New Roman"/>
          <w:b/>
          <w:sz w:val="21"/>
          <w:szCs w:val="21"/>
        </w:rPr>
        <w:t>30 dni</w:t>
      </w:r>
      <w:r>
        <w:rPr>
          <w:rFonts w:cs="Arial" w:ascii="Times New Roman" w:hAnsi="Times New Roman"/>
          <w:sz w:val="21"/>
          <w:szCs w:val="21"/>
        </w:rPr>
        <w:t xml:space="preserve"> od dnia upływu terminu składania ofert tj. do dnia </w:t>
      </w:r>
      <w:r>
        <w:rPr>
          <w:rFonts w:cs="Arial" w:ascii="Times New Roman" w:hAnsi="Times New Roman"/>
          <w:b/>
          <w:bCs/>
          <w:sz w:val="21"/>
          <w:szCs w:val="21"/>
        </w:rPr>
        <w:t>08</w:t>
      </w:r>
      <w:r>
        <w:rPr>
          <w:rFonts w:cs="Arial" w:ascii="Times New Roman" w:hAnsi="Times New Roman"/>
          <w:b/>
          <w:sz w:val="21"/>
          <w:szCs w:val="21"/>
        </w:rPr>
        <w:t>.05.2026r.</w:t>
      </w:r>
    </w:p>
    <w:p>
      <w:pPr>
        <w:pStyle w:val="Textbody"/>
        <w:numPr>
          <w:ilvl w:val="6"/>
          <w:numId w:val="17"/>
        </w:numPr>
        <w:spacing w:lineRule="auto" w:line="276" w:before="60" w:after="60"/>
        <w:ind w:hanging="360" w:start="426" w:end="0"/>
        <w:jc w:val="both"/>
        <w:rPr>
          <w:rFonts w:ascii="Times New Roman" w:hAnsi="Times New Roman"/>
        </w:rPr>
      </w:pPr>
      <w:r>
        <w:rPr>
          <w:rFonts w:cs="Arial" w:ascii="Times New Roman" w:hAnsi="Times New Roman"/>
          <w:sz w:val="21"/>
          <w:szCs w:val="21"/>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w:t>
      </w:r>
      <w:r>
        <w:rPr>
          <w:rFonts w:cs="Arial" w:ascii="Times New Roman" w:hAnsi="Times New Roman"/>
          <w:b/>
          <w:bCs/>
          <w:sz w:val="21"/>
          <w:szCs w:val="21"/>
        </w:rPr>
        <w:t>niż 30 dni.</w:t>
      </w:r>
    </w:p>
    <w:p>
      <w:pPr>
        <w:pStyle w:val="Textbody"/>
        <w:numPr>
          <w:ilvl w:val="6"/>
          <w:numId w:val="17"/>
        </w:numPr>
        <w:spacing w:lineRule="auto" w:line="276" w:before="60" w:after="60"/>
        <w:ind w:hanging="360" w:start="426" w:end="0"/>
        <w:jc w:val="both"/>
        <w:rPr>
          <w:rFonts w:ascii="Times New Roman" w:hAnsi="Times New Roman"/>
        </w:rPr>
      </w:pPr>
      <w:r>
        <w:rPr>
          <w:rFonts w:cs="Arial" w:ascii="Times New Roman" w:hAnsi="Times New Roman"/>
          <w:sz w:val="21"/>
          <w:szCs w:val="21"/>
        </w:rPr>
        <w:t>Przedłużenie terminu związania oferta, o którym mowa w ust. 2 wymaga złożenia przez Wykonawcę pisemnego oświadczenia (wyrażonego przy użyciu wyrazów, cyfr lub innych znaków pisarskich, które można odczytać i powielić) o wyrażeniu zgody na przedłużenie terminu związania oferta.</w:t>
      </w:r>
    </w:p>
    <w:p>
      <w:pPr>
        <w:pStyle w:val="Textbody"/>
        <w:numPr>
          <w:ilvl w:val="0"/>
          <w:numId w:val="0"/>
        </w:numPr>
        <w:pBdr>
          <w:top w:val="single" w:sz="4" w:space="1" w:color="000000"/>
          <w:left w:val="single" w:sz="4" w:space="4" w:color="000000"/>
          <w:bottom w:val="single" w:sz="4" w:space="1" w:color="000000"/>
          <w:right w:val="single" w:sz="4" w:space="4" w:color="000000"/>
        </w:pBdr>
        <w:shd w:val="clear" w:color="auto" w:fill="D9D9D9"/>
        <w:tabs>
          <w:tab w:val="clear" w:pos="709"/>
          <w:tab w:val="left" w:pos="1996" w:leader="none"/>
        </w:tabs>
        <w:spacing w:lineRule="auto" w:line="276"/>
        <w:ind w:hanging="0" w:start="0" w:end="-1"/>
        <w:jc w:val="start"/>
        <w:rPr/>
      </w:pPr>
      <w:r>
        <w:rPr>
          <w:rFonts w:cs="Arial" w:ascii="Times New Roman" w:hAnsi="Times New Roman"/>
          <w:b/>
          <w:bCs/>
          <w:sz w:val="22"/>
          <w:szCs w:val="22"/>
        </w:rPr>
        <w:t xml:space="preserve">ROZDZIAŁ XVIII  - </w:t>
      </w:r>
      <w:r>
        <w:rPr>
          <w:rFonts w:cs="Arial" w:ascii="Times New Roman" w:hAnsi="Times New Roman"/>
          <w:sz w:val="22"/>
          <w:szCs w:val="22"/>
        </w:rPr>
        <w:t>OPIS SPOSOBU PRZYGOTOWANIA OFERTY</w:t>
      </w:r>
    </w:p>
    <w:p>
      <w:pPr>
        <w:pStyle w:val="Standard"/>
        <w:numPr>
          <w:ilvl w:val="0"/>
          <w:numId w:val="0"/>
        </w:numPr>
        <w:spacing w:lineRule="auto" w:line="276" w:before="60" w:after="60"/>
        <w:ind w:hanging="0" w:start="0"/>
        <w:jc w:val="start"/>
        <w:rPr/>
      </w:pPr>
      <w:r>
        <w:rPr>
          <w:rFonts w:cs="Arial" w:ascii="Times New Roman" w:hAnsi="Times New Roman"/>
          <w:iCs/>
          <w:sz w:val="22"/>
          <w:szCs w:val="22"/>
        </w:rPr>
        <w:t>Wykonawca może złożyć w postępowaniu tylko</w:t>
      </w:r>
      <w:r>
        <w:rPr>
          <w:rFonts w:cs="Arial" w:ascii="Times New Roman" w:hAnsi="Times New Roman"/>
          <w:iCs/>
          <w:sz w:val="22"/>
          <w:szCs w:val="22"/>
          <w:u w:val="single"/>
        </w:rPr>
        <w:t xml:space="preserve"> jedną ofertę.</w:t>
      </w:r>
    </w:p>
    <w:p>
      <w:pPr>
        <w:pStyle w:val="Standard"/>
        <w:numPr>
          <w:ilvl w:val="0"/>
          <w:numId w:val="0"/>
        </w:numPr>
        <w:spacing w:lineRule="auto" w:line="276" w:before="60" w:after="60"/>
        <w:ind w:hanging="0" w:start="0"/>
        <w:jc w:val="start"/>
        <w:rPr/>
      </w:pPr>
      <w:r>
        <w:rPr>
          <w:rFonts w:cs="Arial" w:ascii="Times New Roman" w:hAnsi="Times New Roman"/>
          <w:iCs/>
          <w:sz w:val="22"/>
          <w:szCs w:val="22"/>
        </w:rPr>
        <w:t>Oferta ma być sporządzona w języku polskim.</w:t>
      </w:r>
    </w:p>
    <w:p>
      <w:pPr>
        <w:pStyle w:val="Standard"/>
        <w:numPr>
          <w:ilvl w:val="0"/>
          <w:numId w:val="0"/>
        </w:numPr>
        <w:spacing w:lineRule="auto" w:line="276" w:before="60" w:after="60"/>
        <w:ind w:hanging="0" w:start="0"/>
        <w:jc w:val="start"/>
        <w:rPr/>
      </w:pPr>
      <w:r>
        <w:rPr>
          <w:rFonts w:cs="Arial" w:ascii="Times New Roman" w:hAnsi="Times New Roman"/>
          <w:iCs/>
          <w:sz w:val="22"/>
          <w:szCs w:val="22"/>
        </w:rPr>
        <w:t>Treść oferty musi odpowiadać treści SWZ.</w:t>
      </w:r>
    </w:p>
    <w:p>
      <w:pPr>
        <w:pStyle w:val="Standard"/>
        <w:numPr>
          <w:ilvl w:val="0"/>
          <w:numId w:val="0"/>
        </w:numPr>
        <w:spacing w:lineRule="auto" w:line="276" w:before="60" w:after="60"/>
        <w:ind w:hanging="0" w:start="0"/>
        <w:jc w:val="start"/>
        <w:rPr/>
      </w:pPr>
      <w:r>
        <w:rPr>
          <w:rFonts w:cs="Arial" w:ascii="Times New Roman" w:hAnsi="Times New Roman"/>
          <w:b/>
          <w:bCs/>
          <w:iCs/>
          <w:sz w:val="22"/>
          <w:szCs w:val="22"/>
        </w:rPr>
        <w:t xml:space="preserve">Ofertę składa </w:t>
      </w:r>
      <w:r>
        <w:rPr>
          <w:rFonts w:cs="Arial" w:ascii="Times New Roman" w:hAnsi="Times New Roman"/>
          <w:b/>
          <w:bCs/>
          <w:sz w:val="22"/>
          <w:szCs w:val="22"/>
          <w:shd w:fill="FFFFFF" w:val="clear"/>
        </w:rPr>
        <w:t>się, pod rygorem nieważności, w formie elektronicznej lub w postaci elektronicznej opatrzonej podpisem zaufanym lub podpisem osobistym.</w:t>
      </w:r>
    </w:p>
    <w:p>
      <w:pPr>
        <w:pStyle w:val="Standard"/>
        <w:numPr>
          <w:ilvl w:val="0"/>
          <w:numId w:val="0"/>
        </w:numPr>
        <w:spacing w:lineRule="auto" w:line="276" w:before="60" w:after="60"/>
        <w:ind w:hanging="0" w:start="0"/>
        <w:jc w:val="start"/>
        <w:rPr/>
      </w:pPr>
      <w:r>
        <w:rPr>
          <w:rFonts w:cs="Arial" w:ascii="Times New Roman" w:hAnsi="Times New Roman"/>
          <w:iCs/>
          <w:sz w:val="22"/>
          <w:szCs w:val="22"/>
        </w:rPr>
        <w:t>Dokumenty sporządzone w języku obcym muszą być złożone wraz z tłumaczeniem na język polski.</w:t>
      </w:r>
    </w:p>
    <w:p>
      <w:pPr>
        <w:pStyle w:val="Standard"/>
        <w:numPr>
          <w:ilvl w:val="0"/>
          <w:numId w:val="0"/>
        </w:numPr>
        <w:spacing w:lineRule="auto" w:line="276" w:before="60" w:after="60"/>
        <w:ind w:hanging="0" w:start="0"/>
        <w:jc w:val="start"/>
        <w:rPr/>
      </w:pPr>
      <w:r>
        <w:rPr>
          <w:rFonts w:cs="Arial" w:ascii="Times New Roman" w:hAnsi="Times New Roman"/>
          <w:iCs/>
          <w:sz w:val="22"/>
          <w:szCs w:val="22"/>
        </w:rPr>
        <w:t>Dokumenty, które wykonawcy są zobowiązani złożyć wraz z ofertą:</w:t>
      </w:r>
    </w:p>
    <w:p>
      <w:pPr>
        <w:pStyle w:val="ListParagraph"/>
        <w:numPr>
          <w:ilvl w:val="0"/>
          <w:numId w:val="78"/>
        </w:numPr>
        <w:spacing w:before="60" w:after="60"/>
        <w:ind w:hanging="283" w:start="567"/>
        <w:jc w:val="start"/>
        <w:rPr/>
      </w:pPr>
      <w:r>
        <w:rPr>
          <w:rFonts w:cs="Arial" w:ascii="Times New Roman" w:hAnsi="Times New Roman"/>
        </w:rPr>
        <w:t>wypełniony</w:t>
      </w:r>
      <w:r>
        <w:rPr>
          <w:rFonts w:cs="Arial" w:ascii="Times New Roman" w:hAnsi="Times New Roman"/>
          <w:iCs/>
        </w:rPr>
        <w:t xml:space="preserve"> </w:t>
      </w:r>
      <w:r>
        <w:rPr>
          <w:rFonts w:cs="Arial" w:ascii="Times New Roman" w:hAnsi="Times New Roman"/>
          <w:b/>
          <w:bCs/>
          <w:iCs/>
        </w:rPr>
        <w:t>formularz ofertowy</w:t>
      </w:r>
      <w:r>
        <w:rPr>
          <w:rFonts w:cs="Arial" w:ascii="Times New Roman" w:hAnsi="Times New Roman"/>
          <w:iCs/>
        </w:rPr>
        <w:t xml:space="preserve"> (wg załączonego wzoru – </w:t>
      </w:r>
      <w:r>
        <w:rPr>
          <w:rFonts w:cs="Arial" w:ascii="Times New Roman" w:hAnsi="Times New Roman"/>
          <w:b/>
          <w:bCs/>
          <w:iCs/>
        </w:rPr>
        <w:t>załącznik nr 1 do SWZ;</w:t>
      </w:r>
    </w:p>
    <w:p>
      <w:pPr>
        <w:pStyle w:val="ListParagraph"/>
        <w:numPr>
          <w:ilvl w:val="0"/>
          <w:numId w:val="17"/>
        </w:numPr>
        <w:spacing w:before="60" w:after="60"/>
        <w:ind w:hanging="283" w:start="567"/>
        <w:jc w:val="start"/>
        <w:rPr>
          <w:sz w:val="22"/>
          <w:szCs w:val="22"/>
        </w:rPr>
      </w:pPr>
      <w:r>
        <w:rPr>
          <w:rFonts w:cs="Arial" w:ascii="Times New Roman" w:hAnsi="Times New Roman"/>
          <w:sz w:val="22"/>
          <w:szCs w:val="22"/>
        </w:rPr>
        <w:t xml:space="preserve">oświadczenie o spełnianiu warunków udziału w postępowaniu oraz o braku podstaw do wykluczenia z postępowania – zgodnie z </w:t>
      </w:r>
      <w:r>
        <w:rPr>
          <w:rFonts w:cs="Arial" w:ascii="Times New Roman" w:hAnsi="Times New Roman"/>
          <w:b/>
          <w:bCs/>
          <w:sz w:val="22"/>
          <w:szCs w:val="22"/>
        </w:rPr>
        <w:t>załącznikiem nr 2 do SWZ;</w:t>
      </w:r>
    </w:p>
    <w:p>
      <w:pPr>
        <w:pStyle w:val="ListParagraph"/>
        <w:numPr>
          <w:ilvl w:val="0"/>
          <w:numId w:val="17"/>
        </w:numPr>
        <w:spacing w:before="60" w:after="60"/>
        <w:ind w:hanging="283" w:start="567"/>
        <w:jc w:val="start"/>
        <w:rPr>
          <w:sz w:val="22"/>
          <w:szCs w:val="22"/>
        </w:rPr>
      </w:pPr>
      <w:r>
        <w:rPr>
          <w:rFonts w:cs="Arial" w:ascii="Times New Roman" w:hAnsi="Times New Roman"/>
          <w:b w:val="false"/>
          <w:bCs w:val="false"/>
          <w:iCs/>
          <w:sz w:val="22"/>
          <w:szCs w:val="22"/>
        </w:rPr>
        <w:t xml:space="preserve">zobowiązanie innego podmiotu do udostępnienia zasobów (wg załączonego wzoru – </w:t>
      </w:r>
      <w:r>
        <w:rPr>
          <w:rFonts w:cs="Arial" w:ascii="Times New Roman" w:hAnsi="Times New Roman"/>
          <w:b/>
          <w:bCs/>
          <w:iCs/>
          <w:sz w:val="22"/>
          <w:szCs w:val="22"/>
        </w:rPr>
        <w:t>załącznik nr 3 do SWZ</w:t>
      </w:r>
      <w:r>
        <w:rPr>
          <w:rFonts w:cs="Arial" w:ascii="Times New Roman" w:hAnsi="Times New Roman"/>
          <w:b w:val="false"/>
          <w:bCs w:val="false"/>
          <w:iCs/>
          <w:sz w:val="22"/>
          <w:szCs w:val="22"/>
        </w:rPr>
        <w:t xml:space="preserve">) – </w:t>
      </w:r>
      <w:r>
        <w:rPr>
          <w:rFonts w:cs="Arial" w:ascii="Times New Roman" w:hAnsi="Times New Roman"/>
          <w:b w:val="false"/>
          <w:bCs w:val="false"/>
          <w:iCs/>
          <w:color w:val="000000"/>
          <w:sz w:val="22"/>
          <w:szCs w:val="22"/>
        </w:rPr>
        <w:t>jeżeli dotyczy;</w:t>
      </w:r>
    </w:p>
    <w:p>
      <w:pPr>
        <w:pStyle w:val="ListParagraph"/>
        <w:numPr>
          <w:ilvl w:val="0"/>
          <w:numId w:val="17"/>
        </w:numPr>
        <w:spacing w:before="60" w:after="60"/>
        <w:ind w:hanging="283" w:start="567"/>
        <w:jc w:val="start"/>
        <w:rPr>
          <w:sz w:val="22"/>
          <w:szCs w:val="22"/>
        </w:rPr>
      </w:pPr>
      <w:r>
        <w:rPr>
          <w:rFonts w:cs="Arial" w:ascii="Times New Roman" w:hAnsi="Times New Roman"/>
          <w:b/>
          <w:bCs/>
          <w:iCs/>
          <w:sz w:val="22"/>
          <w:szCs w:val="22"/>
        </w:rPr>
        <w:t>zał. nr 5</w:t>
      </w:r>
      <w:r>
        <w:rPr>
          <w:rFonts w:cs="Arial" w:ascii="Times New Roman" w:hAnsi="Times New Roman"/>
          <w:b w:val="false"/>
          <w:bCs w:val="false"/>
          <w:iCs/>
          <w:sz w:val="22"/>
          <w:szCs w:val="22"/>
        </w:rPr>
        <w:t xml:space="preserve"> oświadczenie wykonawcy o aktualności informacji zawartych w oświadczeniu, o którym w zał. nr 3 na wezwanie </w:t>
      </w:r>
    </w:p>
    <w:p>
      <w:pPr>
        <w:pStyle w:val="ListParagraph"/>
        <w:numPr>
          <w:ilvl w:val="0"/>
          <w:numId w:val="0"/>
        </w:numPr>
        <w:spacing w:before="60" w:after="60"/>
        <w:ind w:hanging="0" w:start="0"/>
        <w:jc w:val="start"/>
        <w:rPr>
          <w:rFonts w:ascii="Times New Roman" w:hAnsi="Times New Roman"/>
        </w:rPr>
      </w:pPr>
      <w:r>
        <w:rPr>
          <w:rFonts w:cs="Arial" w:ascii="Times New Roman" w:hAnsi="Times New Roman"/>
          <w:sz w:val="22"/>
          <w:szCs w:val="22"/>
        </w:rPr>
        <w:t xml:space="preserve"> </w:t>
      </w:r>
      <w:r>
        <w:rPr>
          <w:rFonts w:cs="Arial" w:ascii="Times New Roman" w:hAnsi="Times New Roman"/>
          <w:sz w:val="22"/>
          <w:szCs w:val="22"/>
        </w:rPr>
        <w:t>5. oświad</w:t>
      </w:r>
      <w:r>
        <w:rPr>
          <w:rFonts w:cs="Arial" w:ascii="Times New Roman" w:hAnsi="Times New Roman"/>
        </w:rPr>
        <w:t>czenie</w:t>
      </w:r>
      <w:r>
        <w:rPr>
          <w:rFonts w:cs="Arial" w:ascii="Times New Roman" w:hAnsi="Times New Roman"/>
          <w:iCs/>
        </w:rPr>
        <w:t xml:space="preserve"> Wykonawców wspólnie ubiegających się o udzielenie zamówienia </w:t>
      </w:r>
      <w:r>
        <w:rPr>
          <w:rFonts w:cs="Arial" w:ascii="Times New Roman" w:hAnsi="Times New Roman"/>
          <w:b/>
          <w:bCs/>
          <w:iCs/>
        </w:rPr>
        <w:t>(wg załączonego wzoru</w:t>
      </w:r>
      <w:r>
        <w:rPr>
          <w:rFonts w:cs="Arial" w:ascii="Times New Roman" w:hAnsi="Times New Roman"/>
          <w:iCs/>
        </w:rPr>
        <w:t xml:space="preserve"> </w:t>
      </w:r>
      <w:r>
        <w:rPr>
          <w:rFonts w:cs="Arial" w:ascii="Times New Roman" w:hAnsi="Times New Roman"/>
          <w:b/>
        </w:rPr>
        <w:t xml:space="preserve">– </w:t>
      </w:r>
      <w:r>
        <w:rPr>
          <w:rFonts w:cs="Arial" w:ascii="Times New Roman" w:hAnsi="Times New Roman"/>
          <w:b/>
          <w:bCs/>
          <w:iCs/>
        </w:rPr>
        <w:t xml:space="preserve"> zał. nr 6 do SWZ</w:t>
      </w:r>
      <w:r>
        <w:rPr>
          <w:rFonts w:cs="Arial" w:ascii="Times New Roman" w:hAnsi="Times New Roman"/>
        </w:rPr>
        <w:t xml:space="preserve">) </w:t>
      </w:r>
      <w:r>
        <w:rPr>
          <w:rFonts w:cs="Arial" w:ascii="Times New Roman" w:hAnsi="Times New Roman"/>
          <w:bCs/>
        </w:rPr>
        <w:t>-</w:t>
      </w:r>
      <w:r>
        <w:rPr>
          <w:rFonts w:cs="Arial" w:ascii="Times New Roman" w:hAnsi="Times New Roman"/>
          <w:bCs/>
          <w:color w:val="000000"/>
        </w:rPr>
        <w:t xml:space="preserve"> </w:t>
      </w:r>
      <w:r>
        <w:rPr>
          <w:rFonts w:cs="Arial" w:ascii="Times New Roman" w:hAnsi="Times New Roman"/>
          <w:b/>
          <w:color w:val="000000"/>
        </w:rPr>
        <w:t xml:space="preserve"> </w:t>
      </w:r>
      <w:r>
        <w:rPr>
          <w:rFonts w:cs="Arial" w:ascii="Times New Roman" w:hAnsi="Times New Roman"/>
          <w:iCs/>
          <w:color w:val="000000"/>
        </w:rPr>
        <w:t>jeżeli dotyczy;</w:t>
        <w:br/>
        <w:t xml:space="preserve">6. </w:t>
      </w:r>
      <w:r>
        <w:rPr>
          <w:rFonts w:cs="Arial" w:ascii="Times New Roman" w:hAnsi="Times New Roman"/>
          <w:iCs/>
          <w:color w:val="000000"/>
          <w:sz w:val="22"/>
          <w:szCs w:val="22"/>
        </w:rPr>
        <w:t xml:space="preserve">aktualną koncesję na wykonywanie działalności gospodarczej w zakresie obrotu paliwami ciekłymi wydana przez Prezesa Urzędu Regulacji Energetyki zgodnie z ustawą z dnia 10 kwietnia 1997 r. Prawo energetyczne </w:t>
      </w:r>
      <w:r>
        <w:rPr>
          <w:rFonts w:cs="Arial" w:ascii="Times New Roman" w:hAnsi="Times New Roman"/>
          <w:iCs/>
          <w:color w:val="000000"/>
          <w:sz w:val="22"/>
          <w:szCs w:val="22"/>
          <w:u w:val="single"/>
        </w:rPr>
        <w:t>(</w:t>
      </w:r>
      <w:r>
        <w:rPr>
          <w:rFonts w:cs="Arial" w:ascii="Times New Roman" w:hAnsi="Times New Roman"/>
          <w:iCs/>
          <w:color w:val="000000"/>
          <w:sz w:val="22"/>
          <w:szCs w:val="22"/>
        </w:rPr>
        <w:t>Dz. U. z 2022 r. poz. 1385, 1723, 2127, 2243, 2370, 2687, z 2023 r. poz. 295.)</w:t>
      </w:r>
    </w:p>
    <w:p>
      <w:pPr>
        <w:pStyle w:val="ListParagraph"/>
        <w:numPr>
          <w:ilvl w:val="0"/>
          <w:numId w:val="0"/>
        </w:numPr>
        <w:spacing w:before="60" w:after="60"/>
        <w:ind w:hanging="0" w:start="0"/>
        <w:jc w:val="both"/>
        <w:rPr>
          <w:rFonts w:ascii="Times New Roman" w:hAnsi="Times New Roman"/>
        </w:rPr>
      </w:pPr>
      <w:r>
        <w:rPr>
          <w:rFonts w:cs="Arial" w:ascii="Times New Roman" w:hAnsi="Times New Roman"/>
        </w:rPr>
        <w:t>7. oświadczenia</w:t>
      </w:r>
      <w:r>
        <w:rPr>
          <w:rFonts w:cs="Arial" w:ascii="Times New Roman" w:hAnsi="Times New Roman"/>
          <w:iCs/>
        </w:rPr>
        <w:t xml:space="preserve"> i/lub dokumenty na podstawie których, Zamawiający dokona oceny skuteczności zastrzeżenia informacji zawartych w ofercie, stanowiących tajemnicę przedsiębiorstwa w rozumieniu przepisów o zwalczaniu nieuczciwej konkurencji (jeżeli Wykonawca zastrzega takie informacje) – </w:t>
      </w:r>
      <w:r>
        <w:rPr>
          <w:rFonts w:cs="Arial" w:ascii="Times New Roman" w:hAnsi="Times New Roman"/>
          <w:iCs/>
          <w:color w:val="000000"/>
        </w:rPr>
        <w:t>jeżeli dotyczy;</w:t>
      </w:r>
    </w:p>
    <w:p>
      <w:pPr>
        <w:pStyle w:val="ListParagraph"/>
        <w:numPr>
          <w:ilvl w:val="0"/>
          <w:numId w:val="0"/>
        </w:numPr>
        <w:spacing w:before="60" w:after="60"/>
        <w:ind w:hanging="0" w:start="0"/>
        <w:jc w:val="both"/>
        <w:rPr>
          <w:rFonts w:ascii="Times New Roman" w:hAnsi="Times New Roman"/>
        </w:rPr>
      </w:pPr>
      <w:r>
        <w:rPr>
          <w:rFonts w:cs="Arial" w:ascii="Times New Roman" w:hAnsi="Times New Roman"/>
        </w:rPr>
        <w:t>8. pełnomocnictwo</w:t>
      </w:r>
      <w:r>
        <w:rPr>
          <w:rFonts w:cs="Arial" w:ascii="Times New Roman" w:hAnsi="Times New Roman"/>
          <w:iCs/>
        </w:rPr>
        <w:t>, z którego wynika prawo do podpisania oferty oraz do podpisania innych dokumentów składanych wraz z ofertą (j</w:t>
      </w:r>
      <w:r>
        <w:rPr>
          <w:rFonts w:cs="Arial" w:ascii="Times New Roman" w:hAnsi="Times New Roman"/>
          <w:iCs/>
          <w:color w:val="000000"/>
        </w:rPr>
        <w:t>eżeli umocowanie osoby wskazanej w ofercie nie wynika z dokumentów rejestrowych KRS/CEIDG) - jeżeli dotyczy;</w:t>
      </w:r>
      <w:bookmarkStart w:id="6" w:name="_Hlk63855762"/>
      <w:bookmarkEnd w:id="6"/>
    </w:p>
    <w:p>
      <w:pPr>
        <w:pStyle w:val="ListParagraph"/>
        <w:numPr>
          <w:ilvl w:val="0"/>
          <w:numId w:val="0"/>
        </w:numPr>
        <w:spacing w:before="60" w:after="60"/>
        <w:ind w:hanging="0" w:start="0"/>
        <w:jc w:val="both"/>
        <w:rPr>
          <w:rFonts w:ascii="Times New Roman" w:hAnsi="Times New Roman"/>
        </w:rPr>
      </w:pPr>
      <w:r>
        <w:rPr>
          <w:rFonts w:cs="Arial" w:ascii="Times New Roman" w:hAnsi="Times New Roman"/>
          <w:color w:val="000000"/>
        </w:rPr>
        <w:t>9. pełnomocnictwo</w:t>
      </w:r>
      <w:r>
        <w:rPr>
          <w:rFonts w:cs="Arial" w:ascii="Times New Roman" w:hAnsi="Times New Roman"/>
          <w:iCs/>
          <w:color w:val="000000"/>
        </w:rPr>
        <w:t xml:space="preserve"> do reprezentowania wszystkich Wykona</w:t>
      </w:r>
      <w:r>
        <w:rPr>
          <w:rFonts w:cs="Arial" w:ascii="Times New Roman" w:hAnsi="Times New Roman"/>
          <w:iCs/>
        </w:rPr>
        <w:t xml:space="preserve">wców wspólnie ubiegających się  o udzielenie zamówienia, ewentualnie umowę o współdziałaniu, </w:t>
        <w:br/>
        <w:t xml:space="preserve">z której będzie wynikać przedmiotowe pełnomocnictwo. Pełnomocnik może być ustanowiony do reprezentowania Wykonawców w postępowaniu albo reprezentowania w postępowaniu i zawarcia umowy </w:t>
      </w:r>
      <w:r>
        <w:rPr>
          <w:rFonts w:cs="Arial" w:ascii="Times New Roman" w:hAnsi="Times New Roman"/>
          <w:iCs/>
          <w:color w:val="000000"/>
        </w:rPr>
        <w:t>– jeżeli dotyczy;</w:t>
      </w:r>
    </w:p>
    <w:p>
      <w:pPr>
        <w:pStyle w:val="ListParagraph"/>
        <w:numPr>
          <w:ilvl w:val="0"/>
          <w:numId w:val="0"/>
        </w:numPr>
        <w:spacing w:before="60" w:after="60"/>
        <w:ind w:hanging="0" w:start="0"/>
        <w:jc w:val="both"/>
        <w:rPr>
          <w:rFonts w:ascii="Times New Roman" w:hAnsi="Times New Roman"/>
        </w:rPr>
      </w:pPr>
      <w:r>
        <w:rPr>
          <w:rFonts w:cs="Arial" w:ascii="Times New Roman" w:hAnsi="Times New Roman"/>
          <w:iCs/>
        </w:rPr>
        <w:t>10. Do przygotowania oferty konieczne jest posiadanie przez osobę upoważnioną do reprezentowania Wykonawcy kwalifikowanego podpisu elektronicznego, podpisu osobistego lub podpisu zaufanego.</w:t>
      </w:r>
    </w:p>
    <w:p>
      <w:pPr>
        <w:pStyle w:val="ListParagraph"/>
        <w:numPr>
          <w:ilvl w:val="0"/>
          <w:numId w:val="0"/>
        </w:numPr>
        <w:spacing w:before="60" w:after="60"/>
        <w:ind w:hanging="0" w:start="0"/>
        <w:jc w:val="both"/>
        <w:rPr>
          <w:rFonts w:ascii="Times New Roman" w:hAnsi="Times New Roman"/>
        </w:rPr>
      </w:pPr>
      <w:r>
        <w:rPr>
          <w:rFonts w:cs="Arial" w:ascii="Times New Roman" w:hAnsi="Times New Roman"/>
          <w:iCs/>
        </w:rPr>
        <w:t xml:space="preserve">11. Jeśli oferta zawiera informacje stanowiące </w:t>
      </w:r>
      <w:r>
        <w:rPr>
          <w:rFonts w:cs="Arial" w:ascii="Times New Roman" w:hAnsi="Times New Roman"/>
          <w:b/>
          <w:bCs/>
          <w:iCs/>
        </w:rPr>
        <w:t>tajemnicę przedsiębiorstwa</w:t>
      </w:r>
      <w:r>
        <w:rPr>
          <w:rFonts w:cs="Arial" w:ascii="Times New Roman" w:hAnsi="Times New Roman"/>
          <w:iCs/>
        </w:rPr>
        <w:t xml:space="preserve"> w rozumieniu ustawy z dnia 16 kwietnia 1993 r. o zwalczaniu nieuczciwej konkurencji (Dz. U. z 2022 r. poz. 1233), Wykonawca powinien nie później niż w terminie składania ofert, zastrzec, że nie mogą one być udostępnione oraz wykazać, iż zastrzeżone informacje stanowią tajemnicę przedsiębiorstwa12,Zaleca się, aby </w:t>
      </w:r>
      <w:r>
        <w:rPr>
          <w:rFonts w:cs="Arial" w:ascii="Times New Roman" w:hAnsi="Times New Roman"/>
          <w:b/>
          <w:bCs/>
          <w:iCs/>
        </w:rPr>
        <w:t>uzasadnienie zastrzeżenia informacji jako tajemnicy przedsiębiorstwa</w:t>
      </w:r>
      <w:r>
        <w:rPr>
          <w:rFonts w:cs="Arial" w:ascii="Times New Roman" w:hAnsi="Times New Roman"/>
          <w:iCs/>
        </w:rPr>
        <w:t xml:space="preserve">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p>
    <w:p>
      <w:pPr>
        <w:pStyle w:val="ListParagraph"/>
        <w:numPr>
          <w:ilvl w:val="0"/>
          <w:numId w:val="0"/>
        </w:numPr>
        <w:spacing w:before="60" w:after="60"/>
        <w:ind w:hanging="0" w:start="0"/>
        <w:jc w:val="both"/>
        <w:rPr>
          <w:rFonts w:ascii="Times New Roman" w:hAnsi="Times New Roman"/>
        </w:rPr>
      </w:pPr>
      <w:r>
        <w:rPr>
          <w:rFonts w:cs="Arial" w:ascii="Times New Roman" w:hAnsi="Times New Roman"/>
          <w:iCs/>
        </w:rPr>
        <w:t>12. 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w:t>
      </w:r>
      <w:r>
        <w:rPr>
          <w:rFonts w:cs="Arial" w:ascii="Times New Roman" w:hAnsi="Times New Roman"/>
          <w:b/>
          <w:color w:val="0070C0"/>
        </w:rPr>
        <w:t xml:space="preserve"> </w:t>
      </w:r>
      <w:r>
        <w:rPr>
          <w:rFonts w:cs="Arial" w:ascii="Times New Roman" w:hAnsi="Times New Roman"/>
          <w:bCs/>
        </w:rPr>
        <w:t>–</w:t>
      </w:r>
      <w:r>
        <w:rPr>
          <w:rFonts w:cs="Arial" w:ascii="Times New Roman" w:hAnsi="Times New Roman"/>
          <w:b/>
          <w:color w:val="0070C0"/>
        </w:rPr>
        <w:t xml:space="preserve"> </w:t>
      </w:r>
      <w:r>
        <w:rPr>
          <w:rFonts w:cs="Arial" w:ascii="Times New Roman" w:hAnsi="Times New Roman"/>
          <w:iCs/>
        </w:rPr>
        <w:t>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pPr>
        <w:pStyle w:val="ListParagraph"/>
        <w:numPr>
          <w:ilvl w:val="0"/>
          <w:numId w:val="0"/>
        </w:numPr>
        <w:spacing w:before="60" w:after="60"/>
        <w:ind w:hanging="0" w:start="1712"/>
        <w:jc w:val="both"/>
        <w:rPr>
          <w:rFonts w:ascii="Times New Roman" w:hAnsi="Times New Roman" w:cs="Arial"/>
          <w:iCs/>
        </w:rPr>
      </w:pPr>
      <w:r>
        <w:rPr>
          <w:rFonts w:cs="Arial" w:ascii="Times New Roman" w:hAnsi="Times New Roman"/>
          <w:iCs/>
        </w:rPr>
      </w:r>
    </w:p>
    <w:p>
      <w:pPr>
        <w:pStyle w:val="Standard"/>
        <w:numPr>
          <w:ilvl w:val="0"/>
          <w:numId w:val="0"/>
        </w:numPr>
        <w:pBdr>
          <w:top w:val="single" w:sz="4" w:space="1" w:color="000000"/>
          <w:left w:val="single" w:sz="4" w:space="4" w:color="000000"/>
          <w:bottom w:val="single" w:sz="4" w:space="1" w:color="000000"/>
          <w:right w:val="single" w:sz="4" w:space="4" w:color="000000"/>
        </w:pBdr>
        <w:shd w:val="clear" w:color="auto" w:fill="D9D9D9"/>
        <w:spacing w:lineRule="auto" w:line="276"/>
        <w:ind w:hanging="0" w:start="0"/>
        <w:rPr>
          <w:rFonts w:ascii="Times New Roman" w:hAnsi="Times New Roman"/>
        </w:rPr>
      </w:pPr>
      <w:r>
        <w:rPr>
          <w:rFonts w:cs="Arial" w:ascii="Times New Roman" w:hAnsi="Times New Roman"/>
          <w:b/>
          <w:bCs/>
          <w:iCs/>
          <w:sz w:val="22"/>
          <w:szCs w:val="22"/>
        </w:rPr>
        <w:t>ROZDZIAŁ XIX - WYJAŚNIENIE I ZMIANA TREŚCI SWZ</w:t>
      </w:r>
    </w:p>
    <w:p>
      <w:pPr>
        <w:pStyle w:val="Standard"/>
        <w:numPr>
          <w:ilvl w:val="0"/>
          <w:numId w:val="0"/>
        </w:numPr>
        <w:shd w:val="clear" w:color="auto" w:fill="FFFFFF"/>
        <w:spacing w:lineRule="auto" w:line="276" w:before="60" w:after="60"/>
        <w:ind w:hanging="0" w:start="0"/>
        <w:jc w:val="both"/>
        <w:rPr>
          <w:rFonts w:ascii="Times New Roman" w:hAnsi="Times New Roman"/>
        </w:rPr>
      </w:pPr>
      <w:r>
        <w:rPr>
          <w:rFonts w:cs="Arial" w:ascii="Times New Roman" w:hAnsi="Times New Roman"/>
          <w:spacing w:val="-2"/>
          <w:sz w:val="22"/>
          <w:szCs w:val="22"/>
        </w:rPr>
        <w:t>Wykonawca może zwrócić się do Zamawiającego z wnioskiem o wyjaśnienie treści SWZ (art. 284 ust. 1 ustawy Pzp).</w:t>
      </w:r>
    </w:p>
    <w:p>
      <w:pPr>
        <w:pStyle w:val="Standard"/>
        <w:numPr>
          <w:ilvl w:val="0"/>
          <w:numId w:val="0"/>
        </w:numPr>
        <w:spacing w:lineRule="auto" w:line="276" w:before="60" w:after="60"/>
        <w:ind w:hanging="0" w:start="1712"/>
        <w:jc w:val="both"/>
        <w:rPr>
          <w:rFonts w:ascii="Times New Roman" w:hAnsi="Times New Roman"/>
        </w:rPr>
      </w:pPr>
      <w:r>
        <w:rPr>
          <w:rFonts w:cs="Arial" w:ascii="Times New Roman" w:hAnsi="Times New Roman"/>
          <w:spacing w:val="-2"/>
          <w:sz w:val="22"/>
          <w:szCs w:val="22"/>
        </w:rPr>
        <w:t>Zamawiający jest obowiązany udzielić wyjaśnień niezwłocznie, jednak nie później niż na 2 dni przed upływem terminu składania ofert pod warunkiem, że wniosek o wyjaśnienietreści SWZ wpłynął do zamawiającego nie później niż na 4 dni przed upływem terminu składania ofert.</w:t>
      </w:r>
    </w:p>
    <w:p>
      <w:pPr>
        <w:pStyle w:val="Standard"/>
        <w:numPr>
          <w:ilvl w:val="0"/>
          <w:numId w:val="0"/>
        </w:numPr>
        <w:spacing w:lineRule="auto" w:line="276" w:before="60" w:after="60"/>
        <w:ind w:hanging="0" w:start="1712"/>
        <w:jc w:val="both"/>
        <w:rPr>
          <w:rFonts w:ascii="Times New Roman" w:hAnsi="Times New Roman"/>
        </w:rPr>
      </w:pPr>
      <w:r>
        <w:rPr>
          <w:rFonts w:cs="Arial" w:ascii="Times New Roman" w:hAnsi="Times New Roman"/>
          <w:spacing w:val="-2"/>
          <w:sz w:val="22"/>
          <w:szCs w:val="22"/>
        </w:rPr>
        <w:t xml:space="preserve">Jeżeli Zamawiający nie udzieli wyjaśnień w terminie, o którym mowa w poprzednim zdaniu, przedłuża termin składania ofert o czas niezbędny do zapoznania się wszystkich zainteresowanych Wykonawców z wyjaśnieniami niezbędnymi do należytego przygotowania i złożenia ofert.  </w:t>
      </w:r>
    </w:p>
    <w:p>
      <w:pPr>
        <w:pStyle w:val="Standard"/>
        <w:numPr>
          <w:ilvl w:val="0"/>
          <w:numId w:val="0"/>
        </w:numPr>
        <w:shd w:val="clear" w:color="auto" w:fill="FFFFFF"/>
        <w:spacing w:lineRule="auto" w:line="276" w:before="60" w:after="60"/>
        <w:ind w:hanging="0" w:start="1712"/>
        <w:jc w:val="both"/>
        <w:rPr>
          <w:rFonts w:ascii="Times New Roman" w:hAnsi="Times New Roman"/>
        </w:rPr>
      </w:pPr>
      <w:r>
        <w:rPr>
          <w:rFonts w:cs="Arial" w:ascii="Times New Roman" w:hAnsi="Times New Roman"/>
          <w:spacing w:val="-4"/>
          <w:sz w:val="22"/>
          <w:szCs w:val="22"/>
        </w:rPr>
        <w:t xml:space="preserve">Przedłużenie terminu składania ofert nie wpływa na bieg terminu składania wniosku </w:t>
        <w:br/>
        <w:t>o wyjaśnienie treści SWZ.</w:t>
      </w:r>
    </w:p>
    <w:p>
      <w:pPr>
        <w:pStyle w:val="Standard"/>
        <w:numPr>
          <w:ilvl w:val="0"/>
          <w:numId w:val="0"/>
        </w:numPr>
        <w:shd w:val="clear" w:color="auto" w:fill="FFFFFF"/>
        <w:spacing w:lineRule="auto" w:line="276" w:before="60" w:after="60"/>
        <w:ind w:hanging="0" w:start="1712"/>
        <w:jc w:val="both"/>
        <w:rPr>
          <w:rFonts w:ascii="Times New Roman" w:hAnsi="Times New Roman"/>
        </w:rPr>
      </w:pPr>
      <w:r>
        <w:rPr>
          <w:rFonts w:cs="Arial" w:ascii="Times New Roman" w:hAnsi="Times New Roman"/>
          <w:spacing w:val="-4"/>
          <w:sz w:val="22"/>
          <w:szCs w:val="22"/>
        </w:rPr>
        <w:t xml:space="preserve">W przypadku, gdy wniosek o wyjaśnienie treści SWZ nie wpłynął w terminie wskazanym </w:t>
        <w:br/>
        <w:t>w pkt 1, Zamawiający nie ma obowiązku udzielania wyjaśnień SWZ oraz obowiązku przedłużenia terminu składania ofert.</w:t>
      </w:r>
    </w:p>
    <w:p>
      <w:pPr>
        <w:pStyle w:val="Standard"/>
        <w:numPr>
          <w:ilvl w:val="0"/>
          <w:numId w:val="0"/>
        </w:numPr>
        <w:shd w:val="clear" w:color="auto" w:fill="FFFFFF"/>
        <w:spacing w:lineRule="auto" w:line="276" w:before="60" w:after="60"/>
        <w:ind w:hanging="0" w:start="1712"/>
        <w:jc w:val="both"/>
        <w:rPr>
          <w:rFonts w:ascii="Times New Roman" w:hAnsi="Times New Roman"/>
        </w:rPr>
      </w:pPr>
      <w:r>
        <w:rPr>
          <w:rFonts w:cs="Arial" w:ascii="Times New Roman" w:hAnsi="Times New Roman"/>
          <w:spacing w:val="-4"/>
          <w:sz w:val="22"/>
          <w:szCs w:val="22"/>
        </w:rPr>
        <w:t>W uzasadnionych przypadkach Zamawiający może przed upływem terminu składania ofert zmienić treść SWZ.</w:t>
      </w:r>
    </w:p>
    <w:p>
      <w:pPr>
        <w:pStyle w:val="Standard"/>
        <w:numPr>
          <w:ilvl w:val="0"/>
          <w:numId w:val="0"/>
        </w:numPr>
        <w:pBdr>
          <w:top w:val="single" w:sz="4" w:space="1" w:color="000000"/>
          <w:left w:val="single" w:sz="4" w:space="4" w:color="000000"/>
          <w:bottom w:val="single" w:sz="4" w:space="1" w:color="000000"/>
          <w:right w:val="single" w:sz="4" w:space="4" w:color="000000"/>
        </w:pBdr>
        <w:shd w:val="clear" w:color="auto" w:fill="D9D9D9"/>
        <w:spacing w:lineRule="auto" w:line="276"/>
        <w:ind w:hanging="0" w:start="0"/>
        <w:jc w:val="both"/>
        <w:rPr>
          <w:rFonts w:ascii="Times New Roman" w:hAnsi="Times New Roman"/>
        </w:rPr>
      </w:pPr>
      <w:r>
        <w:rPr>
          <w:rFonts w:cs="Arial" w:ascii="Times New Roman" w:hAnsi="Times New Roman"/>
          <w:b/>
          <w:bCs/>
          <w:iCs/>
          <w:sz w:val="22"/>
          <w:szCs w:val="22"/>
        </w:rPr>
        <w:t>ROZDZIAŁ XX - MIEJSCE, SPOSÓB ORAZ TERMIN SKŁADANIA I OTWARCIA OFERT</w:t>
      </w:r>
    </w:p>
    <w:p>
      <w:pPr>
        <w:pStyle w:val="Standard"/>
        <w:numPr>
          <w:ilvl w:val="0"/>
          <w:numId w:val="0"/>
        </w:numPr>
        <w:tabs>
          <w:tab w:val="clear" w:pos="709"/>
          <w:tab w:val="left" w:pos="2564" w:leader="none"/>
        </w:tabs>
        <w:spacing w:lineRule="auto" w:line="276" w:before="60" w:after="60"/>
        <w:ind w:hanging="0" w:start="1996"/>
        <w:jc w:val="both"/>
        <w:rPr>
          <w:rFonts w:ascii="Times New Roman" w:hAnsi="Times New Roman" w:eastAsia="Calibri" w:cs="Arial"/>
          <w:sz w:val="22"/>
          <w:szCs w:val="22"/>
          <w:lang w:eastAsia="en-US"/>
        </w:rPr>
      </w:pPr>
      <w:r>
        <w:rPr>
          <w:rFonts w:eastAsia="Calibri" w:cs="Arial" w:ascii="Times New Roman" w:hAnsi="Times New Roman"/>
          <w:sz w:val="22"/>
          <w:szCs w:val="22"/>
          <w:lang w:eastAsia="en-US"/>
        </w:rPr>
      </w:r>
      <w:bookmarkStart w:id="7" w:name="_Hlk63344566"/>
      <w:bookmarkStart w:id="8" w:name="_Hlk63344566"/>
      <w:bookmarkEnd w:id="8"/>
    </w:p>
    <w:p>
      <w:pPr>
        <w:pStyle w:val="Standard"/>
        <w:numPr>
          <w:ilvl w:val="0"/>
          <w:numId w:val="0"/>
        </w:numPr>
        <w:tabs>
          <w:tab w:val="clear" w:pos="709"/>
          <w:tab w:val="left" w:pos="2280" w:leader="none"/>
        </w:tabs>
        <w:spacing w:lineRule="auto" w:line="276" w:before="60" w:after="60"/>
        <w:ind w:hanging="0" w:start="0"/>
        <w:jc w:val="both"/>
        <w:rPr>
          <w:rFonts w:ascii="Times New Roman" w:hAnsi="Times New Roman"/>
        </w:rPr>
      </w:pPr>
      <w:r>
        <w:rPr>
          <w:rFonts w:cs="Arial" w:ascii="Times New Roman" w:hAnsi="Times New Roman"/>
          <w:color w:val="000000"/>
          <w:sz w:val="22"/>
          <w:szCs w:val="22"/>
        </w:rPr>
        <w:t xml:space="preserve">Wykonawca składa ofertę za pośrednictwem Platformy Zakupowej pod adresem: </w:t>
      </w:r>
    </w:p>
    <w:p>
      <w:pPr>
        <w:pStyle w:val="Standard"/>
        <w:numPr>
          <w:ilvl w:val="0"/>
          <w:numId w:val="0"/>
        </w:numPr>
        <w:tabs>
          <w:tab w:val="clear" w:pos="709"/>
          <w:tab w:val="left" w:pos="2564" w:leader="none"/>
        </w:tabs>
        <w:spacing w:lineRule="auto" w:line="276" w:before="60" w:after="60"/>
        <w:ind w:hanging="0" w:start="1996"/>
        <w:jc w:val="center"/>
        <w:rPr/>
      </w:pPr>
      <w:r>
        <w:rPr>
          <w:rStyle w:val="Hyperlink"/>
          <w:rFonts w:cs="Arial" w:ascii="Times New Roman" w:hAnsi="Times New Roman"/>
          <w:b/>
          <w:bCs/>
          <w:sz w:val="22"/>
          <w:szCs w:val="22"/>
        </w:rPr>
        <w:t>https://ezamowienia.gov.pl/pl/</w:t>
      </w:r>
    </w:p>
    <w:p>
      <w:pPr>
        <w:pStyle w:val="ListParagraph"/>
        <w:spacing w:before="60" w:after="60"/>
        <w:ind w:hanging="283" w:start="567"/>
        <w:jc w:val="start"/>
        <w:rPr>
          <w:sz w:val="22"/>
          <w:szCs w:val="22"/>
        </w:rPr>
      </w:pPr>
      <w:r>
        <w:rPr>
          <w:sz w:val="22"/>
          <w:szCs w:val="22"/>
        </w:rPr>
      </w:r>
    </w:p>
    <w:tbl>
      <w:tblPr>
        <w:tblW w:w="8254" w:type="dxa"/>
        <w:jc w:val="start"/>
        <w:tblInd w:w="0" w:type="dxa"/>
        <w:tblLayout w:type="fixed"/>
        <w:tblCellMar>
          <w:top w:w="0" w:type="dxa"/>
          <w:start w:w="0" w:type="dxa"/>
          <w:bottom w:w="0" w:type="dxa"/>
          <w:end w:w="0" w:type="dxa"/>
        </w:tblCellMar>
      </w:tblPr>
      <w:tblGrid>
        <w:gridCol w:w="2751"/>
        <w:gridCol w:w="5502"/>
      </w:tblGrid>
      <w:tr>
        <w:trPr/>
        <w:tc>
          <w:tcPr>
            <w:tcW w:w="2751" w:type="dxa"/>
            <w:tcBorders/>
            <w:vAlign w:val="center"/>
          </w:tcPr>
          <w:p>
            <w:pPr>
              <w:pStyle w:val="Zawartotabeliuser"/>
              <w:ind w:hanging="0" w:start="0" w:end="0"/>
              <w:rPr/>
            </w:pPr>
            <w:r>
              <w:rPr/>
              <w:t>Identyfikator postępowania</w:t>
            </w:r>
          </w:p>
        </w:tc>
        <w:tc>
          <w:tcPr>
            <w:tcW w:w="5502" w:type="dxa"/>
            <w:tcBorders/>
            <w:vAlign w:val="center"/>
          </w:tcPr>
          <w:p>
            <w:pPr>
              <w:pStyle w:val="Zawartotabeliuser"/>
              <w:rPr/>
            </w:pPr>
            <w:r>
              <w:rPr/>
              <w:t>ocds-148610-0339ad15-befd-4e62-997d-a57e1a924d71</w:t>
            </w:r>
          </w:p>
        </w:tc>
      </w:tr>
    </w:tbl>
    <w:p>
      <w:pPr>
        <w:pStyle w:val="ListParagraph"/>
        <w:spacing w:before="60" w:after="60"/>
        <w:ind w:hanging="283" w:start="567"/>
        <w:jc w:val="start"/>
        <w:rPr>
          <w:sz w:val="22"/>
          <w:szCs w:val="22"/>
        </w:rPr>
      </w:pPr>
      <w:r>
        <w:rPr>
          <w:sz w:val="22"/>
          <w:szCs w:val="22"/>
        </w:rPr>
      </w:r>
    </w:p>
    <w:p>
      <w:pPr>
        <w:pStyle w:val="Standard"/>
        <w:numPr>
          <w:ilvl w:val="0"/>
          <w:numId w:val="0"/>
        </w:numPr>
        <w:spacing w:lineRule="auto" w:line="276" w:before="60" w:after="60"/>
        <w:ind w:hanging="0" w:start="0"/>
        <w:jc w:val="start"/>
        <w:rPr>
          <w:rFonts w:ascii="Times New Roman" w:hAnsi="Times New Roman"/>
        </w:rPr>
      </w:pPr>
      <w:r>
        <w:rPr>
          <w:rStyle w:val="Hyperlink"/>
          <w:rFonts w:eastAsia="Calibri" w:cs="Arial" w:ascii="Times New Roman" w:hAnsi="Times New Roman"/>
          <w:b/>
          <w:bCs/>
          <w:sz w:val="22"/>
          <w:szCs w:val="22"/>
          <w:lang w:eastAsia="en-US"/>
        </w:rPr>
        <w:t>www.ezamowienia.gov.pl</w:t>
      </w:r>
    </w:p>
    <w:p>
      <w:pPr>
        <w:pStyle w:val="Standard"/>
        <w:numPr>
          <w:ilvl w:val="0"/>
          <w:numId w:val="0"/>
        </w:numPr>
        <w:spacing w:lineRule="auto" w:line="276" w:before="60" w:after="60"/>
        <w:ind w:hanging="0" w:start="0"/>
        <w:jc w:val="start"/>
        <w:rPr>
          <w:rFonts w:ascii="Times New Roman" w:hAnsi="Times New Roman"/>
        </w:rPr>
      </w:pPr>
      <w:r>
        <w:rPr>
          <w:rFonts w:ascii="Times New Roman" w:hAnsi="Times New Roman"/>
        </w:rPr>
      </w:r>
    </w:p>
    <w:p>
      <w:pPr>
        <w:pStyle w:val="Standard"/>
        <w:numPr>
          <w:ilvl w:val="0"/>
          <w:numId w:val="0"/>
        </w:numPr>
        <w:spacing w:lineRule="auto" w:line="276" w:before="60" w:after="60"/>
        <w:ind w:hanging="0" w:start="0"/>
        <w:jc w:val="start"/>
        <w:rPr>
          <w:rFonts w:ascii="Times New Roman" w:hAnsi="Times New Roman"/>
        </w:rPr>
      </w:pPr>
      <w:bookmarkStart w:id="9" w:name="_Hlk633445661"/>
      <w:bookmarkEnd w:id="9"/>
      <w:r>
        <w:rPr>
          <w:rFonts w:eastAsia="Calibri" w:cs="Arial" w:ascii="Times New Roman" w:hAnsi="Times New Roman"/>
          <w:sz w:val="22"/>
          <w:szCs w:val="22"/>
          <w:lang w:eastAsia="en-US"/>
        </w:rPr>
        <w:t>Zamawiający najpóźniej przed upływem terminu otwarcia ofert udostępni na stronie internetowej prowadzonego postępowanie informację o kwocie, jaką zamierza przeznaczyć na sfinansowanie zamówienia.</w:t>
      </w:r>
    </w:p>
    <w:p>
      <w:pPr>
        <w:pStyle w:val="ListParagraph"/>
        <w:numPr>
          <w:ilvl w:val="0"/>
          <w:numId w:val="0"/>
        </w:numPr>
        <w:spacing w:before="60" w:after="60"/>
        <w:ind w:hanging="0" w:start="0"/>
        <w:jc w:val="start"/>
        <w:rPr>
          <w:b/>
          <w:bCs/>
          <w:sz w:val="24"/>
          <w:szCs w:val="24"/>
        </w:rPr>
      </w:pPr>
      <w:r>
        <w:rPr>
          <w:rFonts w:cs="Arial" w:ascii="Times New Roman" w:hAnsi="Times New Roman"/>
          <w:b/>
          <w:bCs/>
          <w:sz w:val="24"/>
          <w:szCs w:val="24"/>
        </w:rPr>
        <w:t>Ofertę wraz z wymaganymi załącznikami należy złożyć w terminie do dnia 10.03.2026 r. godz. 12.00.</w:t>
      </w:r>
      <w:bookmarkStart w:id="10" w:name="_Hlk63344623"/>
      <w:bookmarkStart w:id="11" w:name="_Hlk63344642"/>
      <w:bookmarkEnd w:id="10"/>
      <w:bookmarkEnd w:id="11"/>
    </w:p>
    <w:p>
      <w:pPr>
        <w:pStyle w:val="ListParagraph"/>
        <w:numPr>
          <w:ilvl w:val="0"/>
          <w:numId w:val="0"/>
        </w:numPr>
        <w:spacing w:before="60" w:after="60"/>
        <w:ind w:hanging="0" w:start="0"/>
        <w:jc w:val="start"/>
        <w:rPr>
          <w:b/>
          <w:bCs/>
          <w:sz w:val="24"/>
          <w:szCs w:val="24"/>
        </w:rPr>
      </w:pPr>
      <w:r>
        <w:rPr>
          <w:rFonts w:cs="Arial" w:ascii="Times New Roman" w:hAnsi="Times New Roman"/>
          <w:b/>
          <w:bCs/>
          <w:sz w:val="24"/>
          <w:szCs w:val="24"/>
        </w:rPr>
        <w:t>Otwarcie ofert nastąpi w dniu 10.03.2026 r. r. o godz. 12.10.</w:t>
      </w:r>
    </w:p>
    <w:p>
      <w:pPr>
        <w:pStyle w:val="ListParagraph"/>
        <w:numPr>
          <w:ilvl w:val="0"/>
          <w:numId w:val="0"/>
        </w:numPr>
        <w:spacing w:before="60" w:after="60"/>
        <w:ind w:hanging="0" w:start="0"/>
        <w:jc w:val="start"/>
        <w:rPr>
          <w:rFonts w:ascii="Times New Roman" w:hAnsi="Times New Roman"/>
        </w:rPr>
      </w:pPr>
      <w:r>
        <w:rPr>
          <w:rFonts w:cs="Arial" w:ascii="Times New Roman" w:hAnsi="Times New Roman"/>
        </w:rPr>
        <w:t xml:space="preserve">Otwarcie ofert nastąpi przy użyciu Platformy Zakupowej poprzez odszyfrowanie </w:t>
        <w:br/>
        <w:t>i otwarcie ofert.</w:t>
      </w:r>
    </w:p>
    <w:p>
      <w:pPr>
        <w:pStyle w:val="Standard"/>
        <w:numPr>
          <w:ilvl w:val="0"/>
          <w:numId w:val="0"/>
        </w:numPr>
        <w:spacing w:lineRule="auto" w:line="276" w:before="60" w:after="60"/>
        <w:ind w:hanging="0" w:start="0"/>
        <w:jc w:val="start"/>
        <w:rPr>
          <w:rFonts w:ascii="Times New Roman" w:hAnsi="Times New Roman"/>
        </w:rPr>
      </w:pPr>
      <w:r>
        <w:rPr>
          <w:rFonts w:eastAsia="Calibri" w:cs="Arial" w:ascii="Times New Roman" w:hAnsi="Times New Roman"/>
          <w:sz w:val="22"/>
          <w:szCs w:val="22"/>
          <w:lang w:eastAsia="en-US"/>
        </w:rPr>
        <w:t>W przypadku awarii systemu teleinformatycznego, przy użyciu którego następuję otwarcie, która powoduje brak możliwości otwarcia ofert w terminie określonym w pkt 4, otwarcie ofert nastąpi niezwłocznie po usunięciu awarii.</w:t>
      </w:r>
    </w:p>
    <w:p>
      <w:pPr>
        <w:pStyle w:val="Standard"/>
        <w:numPr>
          <w:ilvl w:val="0"/>
          <w:numId w:val="0"/>
        </w:numPr>
        <w:spacing w:lineRule="auto" w:line="276" w:before="60" w:after="60"/>
        <w:ind w:hanging="0" w:start="0"/>
        <w:jc w:val="start"/>
        <w:rPr>
          <w:rFonts w:ascii="Times New Roman" w:hAnsi="Times New Roman"/>
        </w:rPr>
      </w:pPr>
      <w:r>
        <w:rPr>
          <w:rFonts w:eastAsia="Calibri" w:cs="Arial" w:ascii="Times New Roman" w:hAnsi="Times New Roman"/>
          <w:sz w:val="22"/>
          <w:szCs w:val="22"/>
          <w:lang w:eastAsia="en-US"/>
        </w:rPr>
        <w:t>Zamawiający niezwłocznie po otwarciu ofert udostępnia na stronie internetowej prowadzonego postępowania informacje dotyczące:</w:t>
      </w:r>
    </w:p>
    <w:p>
      <w:pPr>
        <w:pStyle w:val="Standard"/>
        <w:numPr>
          <w:ilvl w:val="0"/>
          <w:numId w:val="0"/>
        </w:numPr>
        <w:spacing w:lineRule="auto" w:line="276" w:before="60" w:after="60"/>
        <w:ind w:hanging="0" w:start="0"/>
        <w:jc w:val="start"/>
        <w:rPr>
          <w:rFonts w:ascii="Times New Roman" w:hAnsi="Times New Roman"/>
        </w:rPr>
      </w:pPr>
      <w:r>
        <w:rPr>
          <w:rFonts w:eastAsia="Calibri" w:cs="Arial" w:ascii="Times New Roman" w:hAnsi="Times New Roman"/>
          <w:sz w:val="22"/>
          <w:szCs w:val="22"/>
          <w:lang w:eastAsia="en-US"/>
        </w:rPr>
        <w:t>Nazw albo imion i nazwisk oraz siedzib lub miejscach prowadzonej działalności gospodarczej bądź miejsca zamieszkania Wykonawców, których oferty zostały otwarte;cen zawartych w ofertach.</w:t>
      </w:r>
    </w:p>
    <w:p>
      <w:pPr>
        <w:pStyle w:val="ListParagraph"/>
        <w:numPr>
          <w:ilvl w:val="0"/>
          <w:numId w:val="0"/>
        </w:numPr>
        <w:tabs>
          <w:tab w:val="clear" w:pos="709"/>
          <w:tab w:val="left" w:pos="3567" w:leader="none"/>
        </w:tabs>
        <w:spacing w:before="60" w:after="60"/>
        <w:ind w:hanging="0" w:start="0"/>
        <w:jc w:val="start"/>
        <w:rPr>
          <w:rFonts w:ascii="Times New Roman" w:hAnsi="Times New Roman"/>
        </w:rPr>
      </w:pPr>
      <w:r>
        <w:rPr>
          <w:rFonts w:cs="Arial" w:ascii="Times New Roman" w:hAnsi="Times New Roman"/>
        </w:rPr>
        <w:t>Zamawiający odrzuci ofertę złożoną po terminie składania ofert.</w:t>
      </w:r>
    </w:p>
    <w:p>
      <w:pPr>
        <w:pStyle w:val="ListParagraph"/>
        <w:numPr>
          <w:ilvl w:val="0"/>
          <w:numId w:val="0"/>
        </w:numPr>
        <w:tabs>
          <w:tab w:val="clear" w:pos="709"/>
          <w:tab w:val="left" w:pos="3567" w:leader="none"/>
        </w:tabs>
        <w:spacing w:before="60" w:after="60"/>
        <w:ind w:hanging="0" w:start="0"/>
        <w:jc w:val="start"/>
        <w:rPr>
          <w:rFonts w:ascii="Times New Roman" w:hAnsi="Times New Roman"/>
        </w:rPr>
      </w:pPr>
      <w:r>
        <w:rPr>
          <w:rFonts w:cs="Arial" w:ascii="Times New Roman" w:hAnsi="Times New Roman"/>
        </w:rPr>
        <w:t>Wykonawca po upływie terminu do składania ofert nie może wycofać złożonej oferty.</w:t>
      </w:r>
      <w:bookmarkStart w:id="12" w:name="_Hlk63249128"/>
    </w:p>
    <w:p>
      <w:pPr>
        <w:pStyle w:val="Standard"/>
        <w:numPr>
          <w:ilvl w:val="0"/>
          <w:numId w:val="0"/>
        </w:numPr>
        <w:tabs>
          <w:tab w:val="clear" w:pos="709"/>
          <w:tab w:val="left" w:pos="2138" w:leader="none"/>
        </w:tabs>
        <w:spacing w:lineRule="auto" w:line="276" w:before="60" w:after="60"/>
        <w:ind w:hanging="0" w:start="1712"/>
        <w:jc w:val="start"/>
        <w:rPr>
          <w:rFonts w:ascii="Times New Roman" w:hAnsi="Times New Roman" w:cs="Arial"/>
          <w:sz w:val="22"/>
          <w:szCs w:val="22"/>
        </w:rPr>
      </w:pPr>
      <w:r>
        <w:rPr>
          <w:rFonts w:cs="Arial" w:ascii="Times New Roman" w:hAnsi="Times New Roman"/>
          <w:sz w:val="22"/>
          <w:szCs w:val="22"/>
        </w:rPr>
      </w:r>
    </w:p>
    <w:p>
      <w:pPr>
        <w:pStyle w:val="Textbody"/>
        <w:numPr>
          <w:ilvl w:val="0"/>
          <w:numId w:val="0"/>
        </w:numPr>
        <w:pBdr>
          <w:top w:val="single" w:sz="4" w:space="1" w:color="000000"/>
          <w:left w:val="single" w:sz="4" w:space="4" w:color="000000"/>
          <w:bottom w:val="single" w:sz="4" w:space="1" w:color="000000"/>
          <w:right w:val="single" w:sz="4" w:space="4" w:color="000000"/>
        </w:pBdr>
        <w:shd w:val="clear" w:color="auto" w:fill="D9D9D9"/>
        <w:tabs>
          <w:tab w:val="clear" w:pos="709"/>
          <w:tab w:val="left" w:pos="2280" w:leader="none"/>
        </w:tabs>
        <w:spacing w:lineRule="auto" w:line="276"/>
        <w:ind w:hanging="0" w:start="0" w:end="0"/>
        <w:jc w:val="start"/>
        <w:rPr>
          <w:rFonts w:ascii="Times New Roman" w:hAnsi="Times New Roman"/>
        </w:rPr>
      </w:pPr>
      <w:r>
        <w:rPr>
          <w:rFonts w:cs="Arial" w:ascii="Times New Roman" w:hAnsi="Times New Roman"/>
          <w:b/>
          <w:bCs/>
          <w:sz w:val="22"/>
          <w:szCs w:val="22"/>
        </w:rPr>
        <w:t>ROZDZIAŁ X</w:t>
      </w:r>
      <w:bookmarkEnd w:id="12"/>
      <w:r>
        <w:rPr>
          <w:rFonts w:cs="Arial" w:ascii="Times New Roman" w:hAnsi="Times New Roman"/>
          <w:b/>
          <w:bCs/>
          <w:sz w:val="22"/>
          <w:szCs w:val="22"/>
        </w:rPr>
        <w:t>XI  - SPOSÓB OBLICZENIA CENY OFERTY</w:t>
      </w:r>
    </w:p>
    <w:p>
      <w:pPr>
        <w:pStyle w:val="Normal"/>
        <w:widowControl/>
        <w:numPr>
          <w:ilvl w:val="0"/>
          <w:numId w:val="79"/>
        </w:numPr>
        <w:bidi w:val="0"/>
        <w:spacing w:lineRule="auto" w:line="276" w:before="60" w:after="60"/>
        <w:ind w:hanging="284" w:start="284"/>
        <w:jc w:val="start"/>
        <w:textAlignment w:val="auto"/>
        <w:rPr>
          <w:rFonts w:ascii="Times New Roman" w:hAnsi="Times New Roman"/>
        </w:rPr>
      </w:pPr>
      <w:r>
        <w:rPr>
          <w:rFonts w:cs="Arial" w:ascii="Times New Roman" w:hAnsi="Times New Roman"/>
          <w:sz w:val="22"/>
          <w:szCs w:val="22"/>
        </w:rPr>
        <w:t>Cenę ofert należy obliczyć z uwzględnieniem wszystkich wymagań Zamawiającego określonych w SWZ, załącznikach do SWZ i wzorze umowy, z uwzględnieniem wszelkich kosztów, jakie poniesie Wykonawca z tytułu należytej oraz zgodnej z obowiązującymi przepisami realizacji przedmiotu zamówienia.</w:t>
      </w:r>
    </w:p>
    <w:p>
      <w:pPr>
        <w:pStyle w:val="Normal"/>
        <w:widowControl/>
        <w:numPr>
          <w:ilvl w:val="0"/>
          <w:numId w:val="17"/>
        </w:numPr>
        <w:bidi w:val="0"/>
        <w:spacing w:lineRule="auto" w:line="276" w:before="60" w:after="60"/>
        <w:ind w:hanging="284" w:start="284"/>
        <w:jc w:val="start"/>
        <w:textAlignment w:val="auto"/>
        <w:rPr>
          <w:rFonts w:ascii="Times New Roman" w:hAnsi="Times New Roman"/>
        </w:rPr>
      </w:pPr>
      <w:r>
        <w:rPr>
          <w:rFonts w:cs="Arial" w:ascii="Times New Roman" w:hAnsi="Times New Roman"/>
          <w:sz w:val="22"/>
          <w:szCs w:val="22"/>
        </w:rPr>
        <w:t>Łączna cena musi być wyrażona w złotych polskich niezależnie od wchodzących w jej skład elementów. Cena musi  być podana liczbowo i słownie w kwocie brutto w złotych polskich (PLN), być zaokrąglona do dwóch miejsc po przecinku – złote i grosze .</w:t>
      </w:r>
    </w:p>
    <w:p>
      <w:pPr>
        <w:pStyle w:val="Normal"/>
        <w:widowControl/>
        <w:numPr>
          <w:ilvl w:val="0"/>
          <w:numId w:val="17"/>
        </w:numPr>
        <w:bidi w:val="0"/>
        <w:spacing w:lineRule="auto" w:line="276" w:before="60" w:after="60"/>
        <w:ind w:hanging="284" w:start="284"/>
        <w:jc w:val="start"/>
        <w:textAlignment w:val="auto"/>
        <w:rPr>
          <w:rFonts w:ascii="Times New Roman" w:hAnsi="Times New Roman"/>
        </w:rPr>
      </w:pPr>
      <w:r>
        <w:rPr>
          <w:rFonts w:cs="Arial" w:ascii="Times New Roman" w:hAnsi="Times New Roman"/>
          <w:sz w:val="22"/>
          <w:szCs w:val="22"/>
        </w:rPr>
        <w:t xml:space="preserve">W cenie oferty uwzględnia się zysk Wykonawcy oraz wszystkie wymagane przepisami podatki i opłaty, a w szczególności podatek VAT. </w:t>
      </w:r>
    </w:p>
    <w:p>
      <w:pPr>
        <w:pStyle w:val="Normal"/>
        <w:widowControl/>
        <w:numPr>
          <w:ilvl w:val="0"/>
          <w:numId w:val="17"/>
        </w:numPr>
        <w:bidi w:val="0"/>
        <w:spacing w:lineRule="auto" w:line="276" w:before="60" w:after="60"/>
        <w:ind w:hanging="284" w:start="284"/>
        <w:jc w:val="start"/>
        <w:textAlignment w:val="auto"/>
        <w:rPr>
          <w:rFonts w:ascii="Times New Roman" w:hAnsi="Times New Roman"/>
        </w:rPr>
      </w:pPr>
      <w:r>
        <w:rPr>
          <w:rFonts w:cs="Arial" w:ascii="Times New Roman" w:hAnsi="Times New Roman"/>
          <w:sz w:val="22"/>
          <w:szCs w:val="22"/>
        </w:rPr>
        <w:t xml:space="preserve">Ustalenie prawidłowej stawki podatku VAT/podatku akcyzowego, zgodnej </w:t>
        <w:br/>
        <w:t xml:space="preserve">z obowiązującymi przepisami ustawy o podatku od towarów i usług/podatku akcyzowym, należy do Wykonawcy. </w:t>
      </w:r>
    </w:p>
    <w:p>
      <w:pPr>
        <w:pStyle w:val="Normal"/>
        <w:widowControl/>
        <w:numPr>
          <w:ilvl w:val="0"/>
          <w:numId w:val="17"/>
        </w:numPr>
        <w:bidi w:val="0"/>
        <w:spacing w:lineRule="auto" w:line="276" w:before="60" w:after="60"/>
        <w:ind w:hanging="284" w:start="284"/>
        <w:jc w:val="start"/>
        <w:textAlignment w:val="auto"/>
        <w:rPr>
          <w:sz w:val="22"/>
          <w:szCs w:val="22"/>
        </w:rPr>
      </w:pPr>
      <w:r>
        <w:rPr>
          <w:rFonts w:cs="Arial" w:ascii="Times New Roman" w:hAnsi="Times New Roman"/>
          <w:sz w:val="22"/>
          <w:szCs w:val="22"/>
        </w:rPr>
        <w:t>Cen</w:t>
      </w:r>
      <w:r>
        <w:rPr>
          <w:sz w:val="22"/>
          <w:szCs w:val="22"/>
        </w:rPr>
        <w:t xml:space="preserve">ę jednostkową netto ustala się każdorazowo, jako cenę hurtową netto za 1 litr oleju opałowego producenta, publikowaną na stronie internetowej obowiązującą na dzień dostawy, pomniejszoną o upust w wysokości( podany w formularzu of.) - ............ </w:t>
      </w:r>
      <w:r>
        <w:rPr>
          <w:b/>
          <w:bCs/>
          <w:sz w:val="22"/>
          <w:szCs w:val="22"/>
        </w:rPr>
        <w:t>upust od ceny z oficjalnej strony producenta jest stały w okresie realizacji zamówienia.</w:t>
      </w:r>
    </w:p>
    <w:p>
      <w:pPr>
        <w:pStyle w:val="Textbody"/>
        <w:numPr>
          <w:ilvl w:val="0"/>
          <w:numId w:val="0"/>
        </w:numPr>
        <w:pBdr>
          <w:top w:val="single" w:sz="4" w:space="1" w:color="000000"/>
          <w:left w:val="single" w:sz="4" w:space="4" w:color="000000"/>
          <w:bottom w:val="single" w:sz="4" w:space="1" w:color="000000"/>
          <w:right w:val="single" w:sz="4" w:space="4" w:color="000000"/>
        </w:pBdr>
        <w:shd w:val="clear" w:color="auto" w:fill="D9D9D9"/>
        <w:tabs>
          <w:tab w:val="clear" w:pos="709"/>
          <w:tab w:val="left" w:pos="1996" w:leader="none"/>
        </w:tabs>
        <w:spacing w:lineRule="auto" w:line="276"/>
        <w:ind w:hanging="0" w:start="0" w:end="-1"/>
        <w:jc w:val="both"/>
        <w:rPr>
          <w:rFonts w:ascii="Times New Roman" w:hAnsi="Times New Roman"/>
        </w:rPr>
      </w:pPr>
      <w:r>
        <w:rPr>
          <w:rFonts w:cs="Arial" w:ascii="Times New Roman" w:hAnsi="Times New Roman"/>
          <w:b/>
          <w:bCs/>
          <w:sz w:val="22"/>
          <w:szCs w:val="22"/>
        </w:rPr>
        <w:t>ROZDZIAŁ XXII  - OPIS KRYTERIÓW OCENY OFERT, WRAZ Z PODANIEM WAG TYCH KRYTERIÓW I SPOSOBU OCENY OFERT</w:t>
      </w:r>
    </w:p>
    <w:p>
      <w:pPr>
        <w:pStyle w:val="Standard"/>
        <w:widowControl w:val="false"/>
        <w:numPr>
          <w:ilvl w:val="0"/>
          <w:numId w:val="0"/>
        </w:numPr>
        <w:shd w:val="clear" w:color="auto" w:fill="FFFFFF"/>
        <w:spacing w:lineRule="auto" w:line="276" w:before="60" w:after="60"/>
        <w:ind w:hanging="0" w:start="1996"/>
        <w:jc w:val="both"/>
        <w:rPr>
          <w:rFonts w:ascii="Times New Roman" w:hAnsi="Times New Roman" w:cs="Arial"/>
          <w:sz w:val="22"/>
          <w:szCs w:val="22"/>
        </w:rPr>
      </w:pPr>
      <w:r>
        <w:rPr>
          <w:rFonts w:cs="Arial" w:ascii="Times New Roman" w:hAnsi="Times New Roman"/>
          <w:sz w:val="22"/>
          <w:szCs w:val="22"/>
        </w:rPr>
      </w:r>
    </w:p>
    <w:p>
      <w:pPr>
        <w:pStyle w:val="Standard"/>
        <w:widowControl w:val="false"/>
        <w:numPr>
          <w:ilvl w:val="0"/>
          <w:numId w:val="0"/>
        </w:numPr>
        <w:shd w:val="clear" w:color="auto" w:fill="FFFFFF"/>
        <w:tabs>
          <w:tab w:val="clear" w:pos="709"/>
          <w:tab w:val="left" w:pos="2280" w:leader="none"/>
        </w:tabs>
        <w:spacing w:lineRule="auto" w:line="276" w:before="60" w:after="60"/>
        <w:ind w:hanging="0" w:start="0"/>
        <w:jc w:val="start"/>
        <w:rPr/>
      </w:pPr>
      <w:r>
        <w:rPr>
          <w:rFonts w:cs="Arial" w:ascii="Times New Roman" w:hAnsi="Times New Roman"/>
          <w:sz w:val="22"/>
          <w:szCs w:val="22"/>
        </w:rPr>
        <w:t>1.Zamawiający uzna oferty za spełniające wymagania i przyjmie do szczegółowego rozpatrzenia, jeżeli:</w:t>
        <w:br/>
        <w:t>oferta, co do formy opracowania i treści spełnia wymagania określone niniejszą specyfikacją; została złożona w określonym przez Zamawiającego terminie;</w:t>
      </w:r>
    </w:p>
    <w:p>
      <w:pPr>
        <w:pStyle w:val="Standard"/>
        <w:widowControl w:val="false"/>
        <w:numPr>
          <w:ilvl w:val="0"/>
          <w:numId w:val="0"/>
        </w:numPr>
        <w:shd w:val="clear" w:color="auto" w:fill="FFFFFF"/>
        <w:spacing w:lineRule="auto" w:line="276" w:before="60" w:after="60"/>
        <w:ind w:hanging="0" w:start="0"/>
        <w:jc w:val="start"/>
        <w:rPr/>
      </w:pPr>
      <w:r>
        <w:rPr>
          <w:rFonts w:cs="Arial" w:ascii="Times New Roman" w:hAnsi="Times New Roman"/>
          <w:sz w:val="22"/>
          <w:szCs w:val="22"/>
        </w:rPr>
        <w:t xml:space="preserve"> </w:t>
      </w:r>
      <w:r>
        <w:rPr>
          <w:rFonts w:cs="Arial" w:ascii="Times New Roman" w:hAnsi="Times New Roman"/>
          <w:sz w:val="22"/>
          <w:szCs w:val="22"/>
        </w:rPr>
        <w:t>Wykonawca przedstawił ofertę zgodną co do treści z wymaganiami Zamawiającego.</w:t>
      </w:r>
    </w:p>
    <w:p>
      <w:pPr>
        <w:pStyle w:val="Standard"/>
        <w:widowControl w:val="false"/>
        <w:numPr>
          <w:ilvl w:val="0"/>
          <w:numId w:val="0"/>
        </w:numPr>
        <w:shd w:val="clear" w:color="auto" w:fill="FFFFFF"/>
        <w:tabs>
          <w:tab w:val="clear" w:pos="709"/>
          <w:tab w:val="left" w:pos="2551" w:leader="none"/>
        </w:tabs>
        <w:spacing w:lineRule="auto" w:line="276" w:before="60" w:after="60"/>
        <w:ind w:hanging="0" w:start="0"/>
        <w:jc w:val="start"/>
        <w:rPr/>
      </w:pPr>
      <w:r>
        <w:rPr>
          <w:rFonts w:cs="Arial" w:ascii="Times New Roman" w:hAnsi="Times New Roman"/>
          <w:sz w:val="22"/>
          <w:szCs w:val="22"/>
        </w:rPr>
        <w:t>Przy wyborze oferty Zamawiający będzie się kierował kryterium:</w:t>
      </w:r>
    </w:p>
    <w:p>
      <w:pPr>
        <w:pStyle w:val="Standard"/>
        <w:widowControl w:val="false"/>
        <w:numPr>
          <w:ilvl w:val="0"/>
          <w:numId w:val="0"/>
        </w:numPr>
        <w:shd w:val="clear" w:color="auto" w:fill="FFFFFF"/>
        <w:spacing w:lineRule="auto" w:line="276" w:before="60" w:after="60"/>
        <w:ind w:hanging="0" w:start="1712"/>
        <w:jc w:val="start"/>
        <w:rPr/>
      </w:pPr>
      <w:r>
        <w:rPr>
          <w:rStyle w:val="FontStyle70"/>
          <w:rFonts w:cs="Arial" w:ascii="Times New Roman" w:hAnsi="Times New Roman"/>
          <w:color w:val="auto"/>
          <w:sz w:val="22"/>
          <w:szCs w:val="22"/>
        </w:rPr>
        <w:t xml:space="preserve"> </w:t>
      </w:r>
      <w:r>
        <w:rPr>
          <w:rStyle w:val="FontStyle70"/>
          <w:rFonts w:cs="Arial" w:ascii="Times New Roman" w:hAnsi="Times New Roman"/>
          <w:color w:val="auto"/>
          <w:sz w:val="22"/>
          <w:szCs w:val="22"/>
        </w:rPr>
        <w:t>Zamawiający przyjął następujące kryteria przypisując im odpowiednio wagę punktową:</w:t>
      </w:r>
    </w:p>
    <w:p>
      <w:pPr>
        <w:pStyle w:val="Standard"/>
        <w:widowControl w:val="false"/>
        <w:numPr>
          <w:ilvl w:val="0"/>
          <w:numId w:val="0"/>
        </w:numPr>
        <w:shd w:val="clear" w:color="auto" w:fill="FFFFFF"/>
        <w:spacing w:lineRule="auto" w:line="276" w:before="60" w:after="60"/>
        <w:ind w:hanging="0" w:start="1712"/>
        <w:jc w:val="start"/>
        <w:rPr/>
      </w:pPr>
      <w:r>
        <w:rPr>
          <w:rStyle w:val="FontStyle70"/>
          <w:rFonts w:cs="Arial" w:ascii="Times New Roman" w:hAnsi="Times New Roman"/>
          <w:color w:val="auto"/>
          <w:sz w:val="22"/>
          <w:szCs w:val="22"/>
        </w:rPr>
        <w:t xml:space="preserve"> </w:t>
      </w:r>
      <w:r>
        <w:rPr>
          <w:rStyle w:val="FontStyle70"/>
          <w:rFonts w:cs="Arial" w:ascii="Times New Roman" w:hAnsi="Times New Roman"/>
          <w:color w:val="auto"/>
          <w:sz w:val="22"/>
          <w:szCs w:val="22"/>
        </w:rPr>
        <w:t xml:space="preserve">a) Kryterium Cena [K1] </w:t>
      </w:r>
    </w:p>
    <w:p>
      <w:pPr>
        <w:pStyle w:val="Standard"/>
        <w:widowControl w:val="false"/>
        <w:numPr>
          <w:ilvl w:val="0"/>
          <w:numId w:val="0"/>
        </w:numPr>
        <w:shd w:val="clear" w:color="auto" w:fill="FFFFFF"/>
        <w:spacing w:lineRule="auto" w:line="276" w:before="60" w:after="60"/>
        <w:ind w:hanging="0" w:start="1712"/>
        <w:jc w:val="start"/>
        <w:rPr/>
      </w:pPr>
      <w:r>
        <w:rPr>
          <w:rStyle w:val="FontStyle70"/>
          <w:rFonts w:cs="Arial" w:ascii="Times New Roman" w:hAnsi="Times New Roman"/>
          <w:color w:val="auto"/>
          <w:sz w:val="22"/>
          <w:szCs w:val="22"/>
        </w:rPr>
        <w:t>Cena wykonania zamówienia zgodnie z formularzem ofertowym-</w:t>
      </w:r>
    </w:p>
    <w:p>
      <w:pPr>
        <w:pStyle w:val="Standard"/>
        <w:widowControl w:val="false"/>
        <w:numPr>
          <w:ilvl w:val="0"/>
          <w:numId w:val="0"/>
        </w:numPr>
        <w:shd w:val="clear" w:color="auto" w:fill="FFFFFF"/>
        <w:spacing w:lineRule="auto" w:line="276" w:before="60" w:after="60"/>
        <w:ind w:hanging="0" w:start="1712"/>
        <w:jc w:val="start"/>
        <w:rPr/>
      </w:pPr>
      <w:r>
        <w:rPr>
          <w:rStyle w:val="FontStyle70"/>
          <w:rFonts w:cs="Arial" w:ascii="Times New Roman" w:hAnsi="Times New Roman"/>
          <w:color w:val="auto"/>
          <w:sz w:val="22"/>
          <w:szCs w:val="22"/>
        </w:rPr>
        <w:t xml:space="preserve"> </w:t>
      </w:r>
      <w:r>
        <w:rPr>
          <w:rStyle w:val="FontStyle70"/>
          <w:rFonts w:cs="Arial" w:ascii="Times New Roman" w:hAnsi="Times New Roman"/>
          <w:color w:val="auto"/>
          <w:sz w:val="22"/>
          <w:szCs w:val="22"/>
        </w:rPr>
        <w:t xml:space="preserve">waga kryterium 60%, według wzoru matematycznego: </w:t>
      </w:r>
    </w:p>
    <w:p>
      <w:pPr>
        <w:pStyle w:val="Standard"/>
        <w:widowControl w:val="false"/>
        <w:numPr>
          <w:ilvl w:val="0"/>
          <w:numId w:val="0"/>
        </w:numPr>
        <w:shd w:val="clear" w:color="auto" w:fill="FFFFFF"/>
        <w:spacing w:lineRule="auto" w:line="276" w:before="60" w:after="60"/>
        <w:ind w:hanging="0" w:start="1712"/>
        <w:jc w:val="start"/>
        <w:rPr/>
      </w:pPr>
      <w:r>
        <w:rPr>
          <w:rStyle w:val="FontStyle70"/>
          <w:rFonts w:cs="Arial" w:ascii="Times New Roman" w:hAnsi="Times New Roman"/>
          <w:color w:val="auto"/>
          <w:sz w:val="22"/>
          <w:szCs w:val="22"/>
        </w:rPr>
        <w:t xml:space="preserve">Cena oferty najkorzystniejszej ( brutto ) zawierająca stały upust ------------------------------------------------------ x 100 pkt. x 60 % </w:t>
        <w:br/>
        <w:t xml:space="preserve">Cena oferty badanej (brutto) </w:t>
      </w:r>
    </w:p>
    <w:p>
      <w:pPr>
        <w:pStyle w:val="Standard"/>
        <w:widowControl w:val="false"/>
        <w:numPr>
          <w:ilvl w:val="0"/>
          <w:numId w:val="0"/>
        </w:numPr>
        <w:shd w:val="clear" w:color="auto" w:fill="FFFFFF"/>
        <w:spacing w:lineRule="auto" w:line="276" w:before="60" w:after="60"/>
        <w:ind w:hanging="0" w:start="1712"/>
        <w:jc w:val="start"/>
        <w:rPr>
          <w:rFonts w:ascii="Times New Roman" w:hAnsi="Times New Roman" w:cs="Arial"/>
          <w:sz w:val="22"/>
          <w:szCs w:val="22"/>
          <w:shd w:fill="FFFF00" w:val="clear"/>
        </w:rPr>
      </w:pPr>
      <w:r>
        <w:rPr>
          <w:rFonts w:cs="Arial" w:ascii="Times New Roman" w:hAnsi="Times New Roman"/>
          <w:sz w:val="22"/>
          <w:szCs w:val="22"/>
          <w:shd w:fill="FFFF00" w:val="clear"/>
        </w:rPr>
      </w:r>
    </w:p>
    <w:p>
      <w:pPr>
        <w:pStyle w:val="Standard"/>
        <w:widowControl w:val="false"/>
        <w:shd w:val="clear" w:color="auto" w:fill="FFFFFF"/>
        <w:spacing w:lineRule="auto" w:line="276" w:before="60" w:after="60"/>
        <w:jc w:val="both"/>
        <w:rPr/>
      </w:pPr>
      <w:r>
        <w:rPr>
          <w:rStyle w:val="FontStyle70"/>
          <w:rFonts w:cs="Arial" w:ascii="Times New Roman" w:hAnsi="Times New Roman"/>
          <w:b/>
          <w:bCs/>
          <w:color w:val="auto"/>
          <w:sz w:val="22"/>
          <w:szCs w:val="22"/>
        </w:rPr>
        <w:t>b) Kryterium Termin realizacji dostawy [K2]</w:t>
      </w:r>
    </w:p>
    <w:p>
      <w:pPr>
        <w:pStyle w:val="Standard"/>
        <w:widowControl w:val="false"/>
        <w:shd w:val="clear" w:color="auto" w:fill="FFFFFF"/>
        <w:spacing w:lineRule="auto" w:line="276" w:before="60" w:after="60"/>
        <w:jc w:val="both"/>
        <w:rPr/>
      </w:pPr>
      <w:r>
        <w:rPr>
          <w:rStyle w:val="FontStyle70"/>
          <w:rFonts w:cs="Arial" w:ascii="Times New Roman" w:hAnsi="Times New Roman"/>
          <w:b/>
          <w:bCs/>
          <w:color w:val="auto"/>
          <w:sz w:val="22"/>
          <w:szCs w:val="22"/>
        </w:rPr>
        <w:t xml:space="preserve"> </w:t>
      </w:r>
      <w:r>
        <w:rPr>
          <w:rStyle w:val="FontStyle70"/>
          <w:rFonts w:cs="Arial" w:ascii="Times New Roman" w:hAnsi="Times New Roman"/>
          <w:b/>
          <w:bCs/>
          <w:color w:val="auto"/>
          <w:sz w:val="22"/>
          <w:szCs w:val="22"/>
        </w:rPr>
        <w:t xml:space="preserve">Termin realizacji dostawy zgodnie z formularzem oferty- waga kryterium- 40% </w:t>
      </w:r>
    </w:p>
    <w:p>
      <w:pPr>
        <w:pStyle w:val="Standard"/>
        <w:widowControl w:val="false"/>
        <w:shd w:val="clear" w:color="auto" w:fill="FFFFFF"/>
        <w:spacing w:lineRule="auto" w:line="276" w:before="60" w:after="60"/>
        <w:jc w:val="both"/>
        <w:rPr/>
      </w:pPr>
      <w:r>
        <w:rPr>
          <w:rStyle w:val="FontStyle70"/>
          <w:rFonts w:cs="Arial" w:ascii="Times New Roman" w:hAnsi="Times New Roman"/>
          <w:b w:val="false"/>
          <w:bCs w:val="false"/>
          <w:color w:val="auto"/>
          <w:sz w:val="22"/>
          <w:szCs w:val="22"/>
        </w:rPr>
        <w:t xml:space="preserve">Sposób przyznania punktów: Ocenie zostanie poddana długość zaproponowanego przez Wykonawcę terminu, w którym każdorazowo następować będzie realizacja dostaw oleju opałowego (pojedynczych zamówień) licząc od momentu złożenia zamówienia. </w:t>
      </w:r>
    </w:p>
    <w:p>
      <w:pPr>
        <w:pStyle w:val="Standard"/>
        <w:widowControl w:val="false"/>
        <w:shd w:val="clear" w:color="auto" w:fill="FFFFFF"/>
        <w:spacing w:lineRule="auto" w:line="276" w:before="60" w:after="60"/>
        <w:jc w:val="both"/>
        <w:rPr/>
      </w:pPr>
      <w:r>
        <w:rPr>
          <w:rStyle w:val="FontStyle70"/>
          <w:rFonts w:cs="Arial" w:ascii="Times New Roman" w:hAnsi="Times New Roman"/>
          <w:b w:val="false"/>
          <w:bCs w:val="false"/>
          <w:color w:val="auto"/>
          <w:sz w:val="22"/>
          <w:szCs w:val="22"/>
        </w:rPr>
        <w:t>Maksymalnie można uzyskać 40 punktów. Liczba przyznanych punktów dla poszczególnych ofert będzie przyznawana według poniższych zasad:</w:t>
      </w:r>
    </w:p>
    <w:p>
      <w:pPr>
        <w:pStyle w:val="Standard"/>
        <w:widowControl w:val="false"/>
        <w:shd w:val="clear" w:color="auto" w:fill="FFFFFF"/>
        <w:spacing w:lineRule="auto" w:line="276" w:before="60" w:after="60"/>
        <w:jc w:val="both"/>
        <w:rPr/>
      </w:pPr>
      <w:r>
        <w:rPr>
          <w:rStyle w:val="FontStyle70"/>
          <w:rFonts w:cs="Arial" w:ascii="Times New Roman" w:hAnsi="Times New Roman"/>
          <w:b/>
          <w:bCs/>
          <w:color w:val="auto"/>
          <w:sz w:val="22"/>
          <w:szCs w:val="22"/>
          <w:u w:val="single"/>
        </w:rPr>
        <w:t xml:space="preserve"> </w:t>
      </w:r>
      <w:r>
        <w:rPr>
          <w:rStyle w:val="FontStyle70"/>
          <w:rFonts w:cs="Arial" w:ascii="Times New Roman" w:hAnsi="Times New Roman"/>
          <w:b/>
          <w:bCs/>
          <w:color w:val="auto"/>
          <w:sz w:val="22"/>
          <w:szCs w:val="22"/>
          <w:u w:val="single"/>
        </w:rPr>
        <w:t>Termin realizacji dostawy w godzinach* Ilość punktów [K2]</w:t>
      </w:r>
    </w:p>
    <w:p>
      <w:pPr>
        <w:pStyle w:val="Standard"/>
        <w:widowControl w:val="false"/>
        <w:shd w:val="clear" w:color="auto" w:fill="FFFFFF"/>
        <w:spacing w:lineRule="auto" w:line="276" w:before="60" w:after="60"/>
        <w:jc w:val="both"/>
        <w:rPr/>
      </w:pPr>
      <w:r>
        <w:rPr>
          <w:rStyle w:val="FontStyle70"/>
          <w:rFonts w:cs="Arial" w:ascii="Times New Roman" w:hAnsi="Times New Roman"/>
          <w:color w:val="auto"/>
          <w:sz w:val="22"/>
          <w:szCs w:val="22"/>
        </w:rPr>
        <w:t xml:space="preserve"> </w:t>
      </w:r>
      <w:r>
        <w:rPr>
          <w:rStyle w:val="FontStyle70"/>
          <w:rFonts w:cs="Arial" w:ascii="Times New Roman" w:hAnsi="Times New Roman"/>
          <w:color w:val="auto"/>
          <w:sz w:val="22"/>
          <w:szCs w:val="22"/>
        </w:rPr>
        <w:t>24 godziny WYKONAWCA OTRZYMA 40 PKT.</w:t>
      </w:r>
    </w:p>
    <w:p>
      <w:pPr>
        <w:pStyle w:val="Standard"/>
        <w:widowControl w:val="false"/>
        <w:shd w:val="clear" w:color="auto" w:fill="FFFFFF"/>
        <w:spacing w:lineRule="auto" w:line="276" w:before="60" w:after="60"/>
        <w:jc w:val="both"/>
        <w:rPr/>
      </w:pPr>
      <w:r>
        <w:rPr>
          <w:rStyle w:val="FontStyle70"/>
          <w:rFonts w:cs="Arial" w:ascii="Times New Roman" w:hAnsi="Times New Roman"/>
          <w:color w:val="auto"/>
          <w:sz w:val="22"/>
          <w:szCs w:val="22"/>
        </w:rPr>
        <w:t>48 godzin WYKONAWCA OTRZYMA  20 PKT</w:t>
      </w:r>
    </w:p>
    <w:p>
      <w:pPr>
        <w:pStyle w:val="Standard"/>
        <w:widowControl w:val="false"/>
        <w:shd w:val="clear" w:color="auto" w:fill="FFFFFF"/>
        <w:spacing w:lineRule="auto" w:line="276" w:before="60" w:after="60"/>
        <w:jc w:val="both"/>
        <w:rPr/>
      </w:pPr>
      <w:r>
        <w:rPr>
          <w:rStyle w:val="FontStyle70"/>
          <w:rFonts w:cs="Arial" w:ascii="Times New Roman" w:hAnsi="Times New Roman"/>
          <w:color w:val="auto"/>
          <w:sz w:val="22"/>
          <w:szCs w:val="22"/>
        </w:rPr>
        <w:t xml:space="preserve"> </w:t>
      </w:r>
      <w:r>
        <w:rPr>
          <w:rStyle w:val="FontStyle70"/>
          <w:rFonts w:cs="Arial" w:ascii="Times New Roman" w:hAnsi="Times New Roman"/>
          <w:color w:val="auto"/>
          <w:sz w:val="22"/>
          <w:szCs w:val="22"/>
        </w:rPr>
        <w:t>72 godziny  WYKONAWCA OTRZYMA 0PKT.</w:t>
      </w:r>
    </w:p>
    <w:p>
      <w:pPr>
        <w:pStyle w:val="Standard"/>
        <w:widowControl w:val="false"/>
        <w:shd w:val="clear" w:color="auto" w:fill="FFFFFF"/>
        <w:spacing w:lineRule="auto" w:line="276" w:before="60" w:after="60"/>
        <w:jc w:val="both"/>
        <w:rPr/>
      </w:pPr>
      <w:r>
        <w:rPr>
          <w:rStyle w:val="FontStyle70"/>
          <w:rFonts w:cs="Arial" w:ascii="Times New Roman" w:hAnsi="Times New Roman"/>
          <w:color w:val="auto"/>
          <w:sz w:val="22"/>
          <w:szCs w:val="22"/>
        </w:rPr>
        <w:t>Termin realizacji dostaw powinien zostać podany w godzinach, przy czym Wykonawca n</w:t>
      </w:r>
      <w:r>
        <w:rPr>
          <w:rStyle w:val="FontStyle70"/>
          <w:rFonts w:cs="Arial" w:ascii="Times New Roman" w:hAnsi="Times New Roman"/>
          <w:color w:val="auto"/>
          <w:sz w:val="22"/>
          <w:szCs w:val="22"/>
          <w:u w:val="single"/>
        </w:rPr>
        <w:t xml:space="preserve">ie może zaproponować godzin innych niż wskazane w tabeli powyżej. </w:t>
      </w:r>
    </w:p>
    <w:p>
      <w:pPr>
        <w:pStyle w:val="Standard"/>
        <w:widowControl w:val="false"/>
        <w:shd w:val="clear" w:color="auto" w:fill="FFFFFF"/>
        <w:spacing w:lineRule="auto" w:line="276" w:before="60" w:after="60"/>
        <w:jc w:val="both"/>
        <w:rPr/>
      </w:pPr>
      <w:r>
        <w:rPr>
          <w:rStyle w:val="FontStyle70"/>
          <w:rFonts w:cs="Arial" w:ascii="Times New Roman" w:hAnsi="Times New Roman"/>
          <w:color w:val="auto"/>
          <w:sz w:val="22"/>
          <w:szCs w:val="22"/>
        </w:rPr>
        <w:t xml:space="preserve">Kryterium będzie rozpatrywane na podstawie oświadczenia złożonego przez Wykonawcę w Formularzu oferty. </w:t>
      </w:r>
    </w:p>
    <w:p>
      <w:pPr>
        <w:pStyle w:val="Standard"/>
        <w:widowControl w:val="false"/>
        <w:shd w:val="clear" w:color="auto" w:fill="FFFFFF"/>
        <w:spacing w:lineRule="auto" w:line="276" w:before="60" w:after="60"/>
        <w:jc w:val="both"/>
        <w:rPr/>
      </w:pPr>
      <w:r>
        <w:rPr>
          <w:rStyle w:val="FontStyle70"/>
          <w:rFonts w:cs="Arial" w:ascii="Times New Roman" w:hAnsi="Times New Roman"/>
          <w:color w:val="auto"/>
          <w:sz w:val="22"/>
          <w:szCs w:val="22"/>
        </w:rPr>
        <w:t xml:space="preserve">Łączna ilość punktów [K] wyliczona zostanie zgodnie z formułą: K=K1+K2=….pkt </w:t>
      </w:r>
    </w:p>
    <w:p>
      <w:pPr>
        <w:pStyle w:val="Standard"/>
        <w:widowControl w:val="false"/>
        <w:shd w:val="clear" w:color="auto" w:fill="FFFFFF"/>
        <w:spacing w:lineRule="auto" w:line="276" w:before="60" w:after="60"/>
        <w:jc w:val="both"/>
        <w:rPr/>
      </w:pPr>
      <w:r>
        <w:rPr>
          <w:rStyle w:val="FontStyle70"/>
          <w:rFonts w:cs="Arial" w:ascii="Times New Roman" w:hAnsi="Times New Roman"/>
          <w:color w:val="auto"/>
          <w:sz w:val="22"/>
          <w:szCs w:val="22"/>
        </w:rPr>
        <w:t xml:space="preserve">Wykonawca może uzyskać maksymalnie 100 pkt. </w:t>
      </w:r>
    </w:p>
    <w:p>
      <w:pPr>
        <w:pStyle w:val="Standard"/>
        <w:widowControl w:val="false"/>
        <w:shd w:val="clear" w:color="auto" w:fill="FFFFFF"/>
        <w:spacing w:lineRule="auto" w:line="276" w:before="60" w:after="60"/>
        <w:jc w:val="both"/>
        <w:rPr/>
      </w:pPr>
      <w:r>
        <w:rPr>
          <w:rStyle w:val="FontStyle70"/>
          <w:rFonts w:cs="Arial" w:ascii="Times New Roman" w:hAnsi="Times New Roman"/>
          <w:color w:val="auto"/>
          <w:sz w:val="22"/>
          <w:szCs w:val="22"/>
        </w:rPr>
        <w:t xml:space="preserve">Jeśli wykonawca nie wskaże kryterium b) Zamawiający przyjmie dla oferty 0 pkt, jeśli zmieni wskazane godziny Zamawiający przyzna 0pkt. </w:t>
      </w:r>
      <w:r>
        <w:rPr>
          <w:rStyle w:val="FontStyle70"/>
          <w:rFonts w:cs="Arial" w:ascii="Times New Roman" w:hAnsi="Times New Roman"/>
          <w:color w:val="000000"/>
          <w:sz w:val="22"/>
          <w:szCs w:val="22"/>
          <w:shd w:fill="FFFFFF" w:val="clear"/>
        </w:rPr>
        <w:t xml:space="preserve">Jeżeli zaznaczy wszystkie punkty zamawiający przyjmie 0 . </w:t>
      </w:r>
    </w:p>
    <w:p>
      <w:pPr>
        <w:pStyle w:val="Standard"/>
        <w:widowControl w:val="false"/>
        <w:numPr>
          <w:ilvl w:val="0"/>
          <w:numId w:val="0"/>
        </w:numPr>
        <w:shd w:val="clear" w:color="auto" w:fill="FFFFFF"/>
        <w:spacing w:lineRule="auto" w:line="276" w:before="60" w:after="60"/>
        <w:ind w:hanging="0" w:start="0"/>
        <w:jc w:val="both"/>
        <w:rPr/>
      </w:pPr>
      <w:r>
        <w:rPr>
          <w:rStyle w:val="FontStyle70"/>
          <w:rFonts w:cs="Arial" w:ascii="Times New Roman" w:hAnsi="Times New Roman"/>
          <w:b w:val="false"/>
          <w:bCs w:val="false"/>
          <w:color w:val="auto"/>
          <w:sz w:val="22"/>
          <w:szCs w:val="22"/>
        </w:rPr>
        <w:t xml:space="preserve">Sposób przyznania punktów: Ocenie zostanie poddana długość zaproponowanego przez Wykonawcę terminu, w którym każdorazowo następować będzie realizacja dostaw oleju opałowego (pojedynczych zamówień) licząc od momentu złożenia zamówienia. Maksymalnie można uzyskać 40 punktów. </w:t>
      </w:r>
    </w:p>
    <w:p>
      <w:pPr>
        <w:pStyle w:val="Standard"/>
        <w:widowControl w:val="false"/>
        <w:numPr>
          <w:ilvl w:val="0"/>
          <w:numId w:val="0"/>
        </w:numPr>
        <w:shd w:val="clear" w:color="auto" w:fill="FFFFFF"/>
        <w:spacing w:lineRule="auto" w:line="276" w:before="60" w:after="60"/>
        <w:ind w:hanging="0" w:start="0"/>
        <w:jc w:val="both"/>
        <w:rPr/>
      </w:pPr>
      <w:r>
        <w:rPr>
          <w:rStyle w:val="FontStyle70"/>
          <w:rFonts w:cs="Arial" w:ascii="Times New Roman" w:hAnsi="Times New Roman"/>
          <w:b w:val="false"/>
          <w:bCs w:val="false"/>
          <w:color w:val="auto"/>
          <w:sz w:val="22"/>
          <w:szCs w:val="22"/>
        </w:rPr>
        <w:t xml:space="preserve">UWAGA: * Termin realizacji dostaw powinien zostać podany w godzinach, przy czym Wykonawca nie może zaproponować godzin innych niż wskazane w tabeli powyżej. </w:t>
      </w:r>
    </w:p>
    <w:p>
      <w:pPr>
        <w:pStyle w:val="Standard"/>
        <w:widowControl w:val="false"/>
        <w:numPr>
          <w:ilvl w:val="0"/>
          <w:numId w:val="0"/>
        </w:numPr>
        <w:shd w:val="clear" w:color="auto" w:fill="FFFFFF"/>
        <w:spacing w:lineRule="auto" w:line="276" w:before="60" w:after="60"/>
        <w:ind w:hanging="0" w:start="0"/>
        <w:jc w:val="both"/>
        <w:rPr/>
      </w:pPr>
      <w:r>
        <w:rPr>
          <w:rStyle w:val="FontStyle70"/>
          <w:rFonts w:cs="Arial" w:ascii="Times New Roman" w:hAnsi="Times New Roman"/>
          <w:color w:val="auto"/>
          <w:sz w:val="22"/>
          <w:szCs w:val="22"/>
        </w:rPr>
        <w:t xml:space="preserve"> </w:t>
      </w:r>
      <w:r>
        <w:rPr>
          <w:rStyle w:val="FontStyle70"/>
          <w:rFonts w:cs="Arial" w:ascii="Times New Roman" w:hAnsi="Times New Roman"/>
          <w:color w:val="auto"/>
          <w:sz w:val="22"/>
          <w:szCs w:val="22"/>
        </w:rPr>
        <w:t xml:space="preserve">Za ofertę najkorzystniejszą zostanie uznana oferta, która uzyska najwyższą liczbę punktów wyliczoną jako sumę punktów uzyskanych w ww. kryteriach. </w:t>
      </w:r>
    </w:p>
    <w:p>
      <w:pPr>
        <w:pStyle w:val="Standard"/>
        <w:widowControl w:val="false"/>
        <w:numPr>
          <w:ilvl w:val="0"/>
          <w:numId w:val="0"/>
        </w:numPr>
        <w:shd w:val="clear" w:color="auto" w:fill="FFFFFF"/>
        <w:spacing w:lineRule="auto" w:line="276" w:before="60" w:after="60"/>
        <w:ind w:hanging="0" w:start="0"/>
        <w:jc w:val="both"/>
        <w:rPr/>
      </w:pPr>
      <w:r>
        <w:rPr>
          <w:rStyle w:val="FontStyle70"/>
          <w:rFonts w:cs="Arial" w:ascii="Times New Roman" w:hAnsi="Times New Roman"/>
          <w:b w:val="false"/>
          <w:bCs w:val="false"/>
          <w:color w:val="auto"/>
          <w:sz w:val="22"/>
          <w:szCs w:val="22"/>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pPr>
        <w:pStyle w:val="Standard"/>
        <w:widowControl w:val="false"/>
        <w:numPr>
          <w:ilvl w:val="0"/>
          <w:numId w:val="0"/>
        </w:numPr>
        <w:shd w:val="clear" w:color="auto" w:fill="FFFFFF"/>
        <w:spacing w:lineRule="auto" w:line="276" w:before="60" w:after="60"/>
        <w:ind w:hanging="0" w:start="0"/>
        <w:jc w:val="both"/>
        <w:rPr/>
      </w:pPr>
      <w:r>
        <w:rPr>
          <w:rStyle w:val="FontStyle70"/>
          <w:rFonts w:cs="Arial" w:ascii="Times New Roman" w:hAnsi="Times New Roman"/>
          <w:b w:val="false"/>
          <w:bCs w:val="false"/>
          <w:color w:val="auto"/>
          <w:sz w:val="22"/>
          <w:szCs w:val="22"/>
        </w:rPr>
        <w:t>Jeżeli oferty otrzymały taką samą ocenę w kryterium o najwyższej wadze, Zamawiający wybiera ofertę z najniższą cena. Jeżeli nie można dokonać wyboru oferty w sposób, o którym mowa w pkt.  Zamawiający wzywa Wykonawców, którzy złożyli te oferty, do złożenia w terminie określonym przez Zamawiającego ofert dodatkowych zawierających nową cenę.</w:t>
      </w:r>
    </w:p>
    <w:p>
      <w:pPr>
        <w:pStyle w:val="Standard"/>
        <w:widowControl w:val="false"/>
        <w:numPr>
          <w:ilvl w:val="0"/>
          <w:numId w:val="0"/>
        </w:numPr>
        <w:shd w:val="clear" w:color="auto" w:fill="FFFFFF"/>
        <w:spacing w:lineRule="auto" w:line="276" w:before="60" w:after="60"/>
        <w:ind w:hanging="0" w:start="0"/>
        <w:jc w:val="both"/>
        <w:rPr/>
      </w:pPr>
      <w:r>
        <w:rPr>
          <w:rStyle w:val="FontStyle70"/>
          <w:rFonts w:cs="Arial" w:ascii="Times New Roman" w:hAnsi="Times New Roman"/>
          <w:b w:val="false"/>
          <w:bCs w:val="false"/>
          <w:color w:val="auto"/>
          <w:sz w:val="22"/>
          <w:szCs w:val="22"/>
        </w:rPr>
        <w:t xml:space="preserve">Zamawiający nie dopuszcza możliwości prowadzenia jakichkolwiek negocjacji z którymkolwiek Wykonawcą dotyczących złożonej oferty oraz dokonywania jakichkolwiek zmian w </w:t>
      </w:r>
      <w:r>
        <w:rPr>
          <w:rStyle w:val="FontStyle70"/>
          <w:rFonts w:cs="Arial" w:ascii="Times New Roman" w:hAnsi="Times New Roman"/>
          <w:b w:val="false"/>
          <w:bCs w:val="false"/>
          <w:i/>
          <w:iCs/>
          <w:color w:val="auto"/>
          <w:sz w:val="22"/>
          <w:szCs w:val="22"/>
        </w:rPr>
        <w:t xml:space="preserve">jej treści, za wyjątkiem okoliczności opisanych w art. 223 Pzp. </w:t>
      </w:r>
    </w:p>
    <w:p>
      <w:pPr>
        <w:pStyle w:val="Standard"/>
        <w:widowControl w:val="false"/>
        <w:numPr>
          <w:ilvl w:val="0"/>
          <w:numId w:val="0"/>
        </w:numPr>
        <w:shd w:val="clear" w:color="auto" w:fill="FFFFFF"/>
        <w:spacing w:lineRule="auto" w:line="276"/>
        <w:ind w:hanging="0" w:start="1712"/>
        <w:jc w:val="both"/>
        <w:rPr>
          <w:rFonts w:ascii="Times New Roman" w:hAnsi="Times New Roman" w:cs="Arial"/>
          <w:sz w:val="22"/>
          <w:szCs w:val="22"/>
        </w:rPr>
      </w:pPr>
      <w:r>
        <w:rPr>
          <w:rFonts w:cs="Arial" w:ascii="Times New Roman" w:hAnsi="Times New Roman"/>
          <w:sz w:val="22"/>
          <w:szCs w:val="22"/>
        </w:rPr>
      </w:r>
    </w:p>
    <w:p>
      <w:pPr>
        <w:pStyle w:val="Standard"/>
        <w:widowControl w:val="false"/>
        <w:numPr>
          <w:ilvl w:val="0"/>
          <w:numId w:val="0"/>
        </w:numPr>
        <w:pBdr>
          <w:top w:val="single" w:sz="4" w:space="1" w:color="000000"/>
          <w:left w:val="single" w:sz="4" w:space="4" w:color="000000"/>
          <w:bottom w:val="single" w:sz="4" w:space="1" w:color="000000"/>
          <w:right w:val="single" w:sz="4" w:space="4" w:color="000000"/>
        </w:pBdr>
        <w:shd w:val="clear" w:color="auto" w:fill="D9D9D9"/>
        <w:spacing w:lineRule="auto" w:line="276"/>
        <w:ind w:hanging="0" w:start="0"/>
        <w:jc w:val="both"/>
        <w:rPr>
          <w:rFonts w:ascii="Times New Roman" w:hAnsi="Times New Roman"/>
        </w:rPr>
      </w:pPr>
      <w:r>
        <w:rPr>
          <w:rFonts w:cs="Arial" w:ascii="Times New Roman" w:hAnsi="Times New Roman"/>
          <w:b/>
          <w:bCs/>
          <w:sz w:val="22"/>
          <w:szCs w:val="22"/>
        </w:rPr>
        <w:t xml:space="preserve">ROZDZIAŁ XXIII  </w:t>
      </w:r>
      <w:r>
        <w:rPr>
          <w:rFonts w:cs="Arial" w:ascii="Times New Roman" w:hAnsi="Times New Roman"/>
          <w:bCs/>
          <w:sz w:val="22"/>
          <w:szCs w:val="22"/>
        </w:rPr>
        <w:t xml:space="preserve">- </w:t>
      </w:r>
      <w:r>
        <w:rPr>
          <w:rFonts w:cs="Arial" w:ascii="Times New Roman" w:hAnsi="Times New Roman"/>
          <w:b/>
          <w:bCs/>
          <w:sz w:val="22"/>
          <w:szCs w:val="22"/>
        </w:rPr>
        <w:t>WYMAGANIA DOTYCZĄCE WADIUM</w:t>
      </w:r>
    </w:p>
    <w:p>
      <w:pPr>
        <w:pStyle w:val="Standard"/>
        <w:widowControl w:val="false"/>
        <w:numPr>
          <w:ilvl w:val="0"/>
          <w:numId w:val="0"/>
        </w:numPr>
        <w:shd w:val="clear" w:color="auto" w:fill="FFFFFF"/>
        <w:tabs>
          <w:tab w:val="clear" w:pos="709"/>
        </w:tabs>
        <w:spacing w:lineRule="auto" w:line="276" w:before="60" w:after="0"/>
        <w:ind w:hanging="0" w:start="0"/>
        <w:jc w:val="both"/>
        <w:rPr>
          <w:rFonts w:ascii="Times New Roman" w:hAnsi="Times New Roman" w:cs="Arial"/>
          <w:b w:val="false"/>
          <w:bCs w:val="false"/>
          <w:sz w:val="22"/>
          <w:szCs w:val="22"/>
        </w:rPr>
      </w:pPr>
      <w:r>
        <w:rPr>
          <w:rFonts w:eastAsia="ArialMT" w:cs="Arial" w:ascii="Times New Roman" w:hAnsi="Times New Roman"/>
          <w:b w:val="false"/>
          <w:bCs w:val="false"/>
          <w:sz w:val="22"/>
          <w:szCs w:val="22"/>
        </w:rPr>
        <w:t>Zamawiający nie wymaga wniesienia wadium  w przedmiotowym postępowaniu.</w:t>
      </w:r>
    </w:p>
    <w:p>
      <w:pPr>
        <w:pStyle w:val="Standard"/>
        <w:widowControl w:val="false"/>
        <w:numPr>
          <w:ilvl w:val="0"/>
          <w:numId w:val="0"/>
        </w:numPr>
        <w:shd w:val="clear" w:color="auto" w:fill="FFFFFF"/>
        <w:spacing w:lineRule="auto" w:line="276" w:before="60" w:after="60"/>
        <w:ind w:hanging="0" w:start="1712"/>
        <w:jc w:val="both"/>
        <w:rPr>
          <w:rFonts w:ascii="Times New Roman" w:hAnsi="Times New Roman" w:cs="Arial"/>
          <w:b/>
          <w:bCs/>
          <w:sz w:val="22"/>
          <w:szCs w:val="22"/>
        </w:rPr>
      </w:pPr>
      <w:r>
        <w:rPr>
          <w:rFonts w:cs="Arial" w:ascii="Times New Roman" w:hAnsi="Times New Roman"/>
          <w:b/>
          <w:bCs/>
          <w:sz w:val="22"/>
          <w:szCs w:val="22"/>
        </w:rPr>
      </w:r>
    </w:p>
    <w:p>
      <w:pPr>
        <w:pStyle w:val="Standard"/>
        <w:widowControl w:val="false"/>
        <w:numPr>
          <w:ilvl w:val="0"/>
          <w:numId w:val="0"/>
        </w:numPr>
        <w:pBdr>
          <w:top w:val="single" w:sz="4" w:space="1" w:color="000000"/>
          <w:left w:val="single" w:sz="4" w:space="4" w:color="000000"/>
          <w:bottom w:val="single" w:sz="4" w:space="1" w:color="000000"/>
          <w:right w:val="single" w:sz="4" w:space="4" w:color="000000"/>
        </w:pBdr>
        <w:shd w:val="clear" w:color="auto" w:fill="D9D9D9"/>
        <w:spacing w:lineRule="auto" w:line="276"/>
        <w:ind w:hanging="0" w:start="0"/>
        <w:jc w:val="both"/>
        <w:rPr>
          <w:rFonts w:ascii="Times New Roman" w:hAnsi="Times New Roman"/>
        </w:rPr>
      </w:pPr>
      <w:r>
        <w:rPr>
          <w:rFonts w:cs="Arial" w:ascii="Times New Roman" w:hAnsi="Times New Roman"/>
          <w:b/>
          <w:bCs/>
          <w:sz w:val="22"/>
          <w:szCs w:val="22"/>
        </w:rPr>
        <w:t>ROZDZIAŁ XXIV - WYMAGANIA DOTYCZĄCE ZABEZPIECZENIA NALEŻYTEGO WYKONANIA UMOWY</w:t>
      </w:r>
    </w:p>
    <w:p>
      <w:pPr>
        <w:pStyle w:val="ListParagraph"/>
        <w:widowControl w:val="false"/>
        <w:numPr>
          <w:ilvl w:val="0"/>
          <w:numId w:val="0"/>
        </w:numPr>
        <w:shd w:val="clear" w:color="auto" w:fill="FFFFFF"/>
        <w:spacing w:before="60" w:after="60"/>
        <w:ind w:hanging="0" w:start="2138"/>
        <w:jc w:val="both"/>
        <w:rPr>
          <w:rFonts w:ascii="Times New Roman" w:hAnsi="Times New Roman" w:cs="Arial"/>
        </w:rPr>
      </w:pPr>
      <w:r>
        <w:rPr>
          <w:rFonts w:cs="Arial" w:ascii="Times New Roman" w:hAnsi="Times New Roman"/>
        </w:rPr>
      </w:r>
    </w:p>
    <w:p>
      <w:pPr>
        <w:pStyle w:val="Standard"/>
        <w:widowControl w:val="false"/>
        <w:numPr>
          <w:ilvl w:val="0"/>
          <w:numId w:val="0"/>
        </w:numPr>
        <w:shd w:val="clear" w:color="auto" w:fill="FFFFFF"/>
        <w:spacing w:lineRule="auto" w:line="276" w:before="60" w:after="0"/>
        <w:ind w:hanging="0" w:start="0"/>
        <w:jc w:val="both"/>
        <w:rPr>
          <w:rFonts w:ascii="Times New Roman" w:hAnsi="Times New Roman"/>
        </w:rPr>
      </w:pPr>
      <w:r>
        <w:rPr>
          <w:rFonts w:cs="Arial" w:ascii="Times New Roman" w:hAnsi="Times New Roman"/>
          <w:sz w:val="22"/>
          <w:szCs w:val="22"/>
        </w:rPr>
        <w:t>Zamawiający nie wymaga wniesienia zabezpieczenia należytego wykonania umowy  w przedmiotowym postępowaniu.</w:t>
      </w:r>
    </w:p>
    <w:p>
      <w:pPr>
        <w:pStyle w:val="ListParagraph"/>
        <w:widowControl w:val="false"/>
        <w:numPr>
          <w:ilvl w:val="0"/>
          <w:numId w:val="0"/>
        </w:numPr>
        <w:shd w:val="clear" w:color="auto" w:fill="FFFFFF"/>
        <w:tabs>
          <w:tab w:val="clear" w:pos="709"/>
          <w:tab w:val="left" w:pos="4691" w:leader="none"/>
        </w:tabs>
        <w:spacing w:before="60" w:after="60"/>
        <w:ind w:hanging="0" w:start="2705"/>
        <w:jc w:val="both"/>
        <w:rPr>
          <w:rFonts w:ascii="Times New Roman" w:hAnsi="Times New Roman" w:cs="Arial"/>
        </w:rPr>
      </w:pPr>
      <w:r>
        <w:rPr>
          <w:rFonts w:cs="Arial" w:ascii="Times New Roman" w:hAnsi="Times New Roman"/>
        </w:rPr>
      </w:r>
    </w:p>
    <w:p>
      <w:pPr>
        <w:pStyle w:val="Standard"/>
        <w:widowControl w:val="false"/>
        <w:numPr>
          <w:ilvl w:val="0"/>
          <w:numId w:val="0"/>
        </w:numPr>
        <w:pBdr>
          <w:top w:val="single" w:sz="4" w:space="1" w:color="000000"/>
          <w:left w:val="single" w:sz="4" w:space="4" w:color="000000"/>
          <w:bottom w:val="single" w:sz="4" w:space="1" w:color="000000"/>
          <w:right w:val="single" w:sz="4" w:space="4" w:color="000000"/>
        </w:pBdr>
        <w:shd w:val="clear" w:color="auto" w:fill="D9D9D9"/>
        <w:spacing w:lineRule="auto" w:line="276"/>
        <w:ind w:hanging="0" w:start="0"/>
        <w:jc w:val="both"/>
        <w:rPr>
          <w:b/>
          <w:bCs/>
        </w:rPr>
      </w:pPr>
      <w:bookmarkStart w:id="13" w:name="_Hlk64369120"/>
      <w:r>
        <w:rPr>
          <w:rFonts w:cs="Arial" w:ascii="Times New Roman" w:hAnsi="Times New Roman"/>
          <w:b/>
          <w:bCs/>
          <w:sz w:val="22"/>
          <w:szCs w:val="22"/>
        </w:rPr>
        <w:t>ROZDZIAŁ XX</w:t>
      </w:r>
      <w:bookmarkEnd w:id="13"/>
      <w:r>
        <w:rPr>
          <w:rFonts w:cs="Arial" w:ascii="Times New Roman" w:hAnsi="Times New Roman"/>
          <w:b/>
          <w:bCs/>
          <w:sz w:val="22"/>
          <w:szCs w:val="22"/>
        </w:rPr>
        <w:t>V - INFORMACJE O FORMALNOŚCIACH, JAKIE  MUSZĄ BYĆ DOPEŁNIONE PO WYBORZE  OFERT W CELU ZAWARCIA UMOWY W SPRAWIE  ZAMÓWIENIA PUBLICZNEGO</w:t>
      </w:r>
    </w:p>
    <w:p>
      <w:pPr>
        <w:pStyle w:val="Standard"/>
        <w:numPr>
          <w:ilvl w:val="0"/>
          <w:numId w:val="0"/>
        </w:numPr>
        <w:shd w:val="clear" w:color="auto" w:fill="FFFFFF"/>
        <w:spacing w:lineRule="auto" w:line="276" w:before="60" w:after="60"/>
        <w:ind w:hanging="0" w:start="2432"/>
        <w:jc w:val="both"/>
        <w:rPr>
          <w:rFonts w:ascii="Times New Roman" w:hAnsi="Times New Roman"/>
        </w:rPr>
      </w:pPr>
      <w:r>
        <w:rPr>
          <w:rFonts w:cs="Arial" w:ascii="Times New Roman" w:hAnsi="Times New Roman"/>
          <w:color w:val="000000"/>
          <w:sz w:val="22"/>
          <w:szCs w:val="22"/>
        </w:rPr>
        <w:t xml:space="preserve">1.Niezwłocznie po wyborze najkorzystniejszej oferty Zamawiający poinformuje wszystkich Wykonawców o wyniku przetargu zgodnie z przepisami ustawy Pzp </w:t>
        <w:br/>
      </w:r>
      <w:r>
        <w:rPr>
          <w:rFonts w:cs="Arial" w:ascii="Times New Roman" w:hAnsi="Times New Roman"/>
          <w:iCs/>
          <w:color w:val="000000"/>
          <w:sz w:val="22"/>
          <w:szCs w:val="22"/>
        </w:rPr>
        <w:t>(art. 253 ust 1)</w:t>
      </w:r>
      <w:r>
        <w:rPr>
          <w:rFonts w:cs="Arial" w:ascii="Times New Roman" w:hAnsi="Times New Roman"/>
          <w:color w:val="000000"/>
          <w:sz w:val="22"/>
          <w:szCs w:val="22"/>
        </w:rPr>
        <w:t>.</w:t>
      </w:r>
    </w:p>
    <w:p>
      <w:pPr>
        <w:pStyle w:val="Standard"/>
        <w:numPr>
          <w:ilvl w:val="0"/>
          <w:numId w:val="0"/>
        </w:numPr>
        <w:shd w:val="clear" w:color="auto" w:fill="FFFFFF"/>
        <w:spacing w:lineRule="auto" w:line="276" w:before="60" w:after="60"/>
        <w:ind w:hanging="0" w:start="2432"/>
        <w:jc w:val="both"/>
        <w:rPr>
          <w:rFonts w:ascii="Times New Roman" w:hAnsi="Times New Roman"/>
        </w:rPr>
      </w:pPr>
      <w:r>
        <w:rPr>
          <w:rFonts w:cs="Arial" w:ascii="Times New Roman" w:hAnsi="Times New Roman"/>
          <w:color w:val="000000"/>
          <w:sz w:val="22"/>
          <w:szCs w:val="22"/>
        </w:rPr>
        <w:t xml:space="preserve">Zamawiający zawrze, z wybranym Wykonawcą, umowę w sprawie zamówienia publicznego, z uwzględnieniem art. 577 ustawy Pzp w terminie określonym w art. 308 ust. 2 ustawy Pzp tj. nie krótszym niż̇ 5 dni od dnia przesłania zawiadomienia </w:t>
        <w:br/>
        <w:t>o wyborze najkorzystniejszej oferty, jeżeli zawiadomienie to zostało przesłane przy użyciu środków komunikacji elektronicznej albo 10 dni jeżeli zostało przesłane w inny sposób.</w:t>
      </w:r>
    </w:p>
    <w:p>
      <w:pPr>
        <w:pStyle w:val="Standard"/>
        <w:numPr>
          <w:ilvl w:val="0"/>
          <w:numId w:val="0"/>
        </w:numPr>
        <w:shd w:val="clear" w:color="auto" w:fill="FFFFFF"/>
        <w:spacing w:lineRule="auto" w:line="276" w:before="60" w:after="60"/>
        <w:ind w:hanging="0" w:start="1712"/>
        <w:jc w:val="both"/>
        <w:rPr>
          <w:rFonts w:ascii="Times New Roman" w:hAnsi="Times New Roman"/>
        </w:rPr>
      </w:pPr>
      <w:r>
        <w:rPr>
          <w:rFonts w:cs="Arial" w:ascii="Times New Roman" w:hAnsi="Times New Roman"/>
          <w:color w:val="000000"/>
          <w:sz w:val="22"/>
          <w:szCs w:val="22"/>
        </w:rPr>
        <w:t>2. Zamawiający może zawrzeć́ umowę̨ w sprawie zamówienia publicznego przed upływem terminu, o którym mowa w ust. 1, jeżeli w postępowaniu o udzielenie zamówienia złożono tylko jedną ofertę̨.</w:t>
      </w:r>
    </w:p>
    <w:p>
      <w:pPr>
        <w:pStyle w:val="Standard"/>
        <w:numPr>
          <w:ilvl w:val="0"/>
          <w:numId w:val="0"/>
        </w:numPr>
        <w:shd w:val="clear" w:color="auto" w:fill="FFFFFF"/>
        <w:spacing w:lineRule="auto" w:line="276" w:before="60" w:after="60"/>
        <w:ind w:hanging="0" w:start="1712"/>
        <w:jc w:val="both"/>
        <w:rPr>
          <w:rFonts w:ascii="Times New Roman" w:hAnsi="Times New Roman"/>
        </w:rPr>
      </w:pPr>
      <w:r>
        <w:rPr>
          <w:rFonts w:cs="Arial" w:ascii="Times New Roman" w:hAnsi="Times New Roman"/>
          <w:color w:val="000000"/>
          <w:sz w:val="22"/>
          <w:szCs w:val="22"/>
        </w:rPr>
        <w:t xml:space="preserve">3. Wykonawca, o którym mowa w ust. 2, ma obowiązek zawrzeć umowę w sprawie zamówienia na warunkach określonych we wzorze umowy, które stanowią </w:t>
      </w:r>
      <w:r>
        <w:rPr>
          <w:rFonts w:cs="Arial" w:ascii="Times New Roman" w:hAnsi="Times New Roman"/>
          <w:sz w:val="22"/>
          <w:szCs w:val="22"/>
        </w:rPr>
        <w:t xml:space="preserve">załącznik nr </w:t>
      </w:r>
      <w:r>
        <w:rPr>
          <w:rFonts w:cs="Arial" w:ascii="Times New Roman" w:hAnsi="Times New Roman"/>
          <w:color w:val="000000"/>
          <w:sz w:val="22"/>
          <w:szCs w:val="22"/>
        </w:rPr>
        <w:t>7 do SWZ. Umowa zostanie uzupełniona o zapisy wynikające ze złożonej oferty.</w:t>
      </w:r>
    </w:p>
    <w:p>
      <w:pPr>
        <w:pStyle w:val="Standard"/>
        <w:numPr>
          <w:ilvl w:val="0"/>
          <w:numId w:val="0"/>
        </w:numPr>
        <w:shd w:val="clear" w:color="auto" w:fill="FFFFFF"/>
        <w:spacing w:lineRule="auto" w:line="276" w:before="60" w:after="60"/>
        <w:ind w:hanging="0" w:start="1712"/>
        <w:jc w:val="both"/>
        <w:rPr>
          <w:rFonts w:ascii="Times New Roman" w:hAnsi="Times New Roman"/>
        </w:rPr>
      </w:pPr>
      <w:r>
        <w:rPr>
          <w:rFonts w:cs="Arial" w:ascii="Times New Roman" w:hAnsi="Times New Roman"/>
          <w:color w:val="000000"/>
          <w:sz w:val="22"/>
          <w:szCs w:val="22"/>
        </w:rPr>
        <w:t>4. W zawiadomieniu wysłanym do Wykonawcy, którego oferta została wybrana, Zamawiający określi termin zawarcia umowy (art. 308 ust 2 i ust 3 pkt 1 lit. a ustawy Pzp).</w:t>
      </w:r>
    </w:p>
    <w:p>
      <w:pPr>
        <w:pStyle w:val="Standard"/>
        <w:numPr>
          <w:ilvl w:val="0"/>
          <w:numId w:val="0"/>
        </w:numPr>
        <w:shd w:val="clear" w:color="auto" w:fill="FFFFFF"/>
        <w:spacing w:lineRule="auto" w:line="276" w:before="60" w:after="60"/>
        <w:ind w:hanging="0" w:start="1712"/>
        <w:jc w:val="both"/>
        <w:rPr>
          <w:rFonts w:ascii="Times New Roman" w:hAnsi="Times New Roman"/>
        </w:rPr>
      </w:pPr>
      <w:r>
        <w:rPr>
          <w:rFonts w:cs="Arial" w:ascii="Times New Roman" w:hAnsi="Times New Roman"/>
          <w:color w:val="000000"/>
          <w:sz w:val="22"/>
          <w:szCs w:val="22"/>
        </w:rPr>
        <w:t xml:space="preserve">5. Termin ten może ulec zmianie w przypadku złożenia odwołania przez któregoś </w:t>
        <w:br/>
        <w:t xml:space="preserve">z wykonawców. O nowym terminie zawarcia umowy </w:t>
      </w:r>
      <w:r>
        <w:rPr>
          <w:rFonts w:cs="Arial" w:ascii="Times New Roman" w:hAnsi="Times New Roman"/>
          <w:sz w:val="22"/>
          <w:szCs w:val="22"/>
        </w:rPr>
        <w:t>W</w:t>
      </w:r>
      <w:r>
        <w:rPr>
          <w:rFonts w:cs="Arial" w:ascii="Times New Roman" w:hAnsi="Times New Roman"/>
          <w:color w:val="000000"/>
          <w:sz w:val="22"/>
          <w:szCs w:val="22"/>
        </w:rPr>
        <w:t xml:space="preserve">ykonawca zostanie poinformowany po zakończeniu postępowania odwoławczego.                                                                                                                                                                                                                                                                                                                                                                                                                                                                                                                                                                                                                                                                                                                                                                                                                                                                                                            </w:t>
      </w:r>
    </w:p>
    <w:p>
      <w:pPr>
        <w:pStyle w:val="Standard"/>
        <w:widowControl w:val="false"/>
        <w:shd w:val="clear" w:color="auto" w:fill="FFFFFF"/>
        <w:spacing w:lineRule="auto" w:line="276" w:before="60" w:after="60"/>
        <w:jc w:val="both"/>
        <w:rPr>
          <w:rFonts w:ascii="Times New Roman" w:hAnsi="Times New Roman" w:cs="Arial"/>
          <w:sz w:val="22"/>
          <w:szCs w:val="22"/>
        </w:rPr>
      </w:pPr>
      <w:r>
        <w:rPr>
          <w:rFonts w:cs="Arial" w:ascii="Times New Roman" w:hAnsi="Times New Roman"/>
          <w:sz w:val="22"/>
          <w:szCs w:val="22"/>
        </w:rPr>
      </w:r>
    </w:p>
    <w:p>
      <w:pPr>
        <w:pStyle w:val="Standard"/>
        <w:numPr>
          <w:ilvl w:val="0"/>
          <w:numId w:val="0"/>
        </w:numPr>
        <w:pBdr>
          <w:top w:val="single" w:sz="4" w:space="1" w:color="000000"/>
          <w:left w:val="single" w:sz="4" w:space="4" w:color="000000"/>
          <w:bottom w:val="single" w:sz="4" w:space="1" w:color="000000"/>
          <w:right w:val="single" w:sz="4" w:space="4" w:color="000000"/>
        </w:pBdr>
        <w:shd w:val="clear" w:color="auto" w:fill="D9D9D9"/>
        <w:tabs>
          <w:tab w:val="clear" w:pos="709"/>
          <w:tab w:val="left" w:pos="1996" w:leader="none"/>
        </w:tabs>
        <w:spacing w:lineRule="auto" w:line="276"/>
        <w:ind w:hanging="0" w:start="1712"/>
        <w:jc w:val="both"/>
        <w:rPr>
          <w:rFonts w:ascii="Times New Roman" w:hAnsi="Times New Roman"/>
        </w:rPr>
      </w:pPr>
      <w:r>
        <w:rPr>
          <w:rFonts w:cs="Arial" w:ascii="Times New Roman" w:hAnsi="Times New Roman"/>
          <w:b/>
          <w:bCs/>
          <w:sz w:val="22"/>
          <w:szCs w:val="22"/>
        </w:rPr>
        <w:t>ROZDZIAŁ XXVI - POUCZENIE O ŚRODKACH OCHRONY PRAWNEJ PRZYSŁUGUJĄCYCH WYKONAWCY</w:t>
      </w:r>
    </w:p>
    <w:p>
      <w:pPr>
        <w:pStyle w:val="ListParagraph"/>
        <w:widowControl w:val="false"/>
        <w:numPr>
          <w:ilvl w:val="0"/>
          <w:numId w:val="0"/>
        </w:numPr>
        <w:shd w:val="clear" w:color="auto" w:fill="FFFFFF"/>
        <w:spacing w:before="60" w:after="60"/>
        <w:ind w:hanging="0" w:start="1712"/>
        <w:jc w:val="both"/>
        <w:rPr>
          <w:rFonts w:ascii="Times New Roman" w:hAnsi="Times New Roman" w:cs="Arial"/>
        </w:rPr>
      </w:pPr>
      <w:r>
        <w:rPr>
          <w:rFonts w:cs="Arial" w:ascii="Times New Roman" w:hAnsi="Times New Roman"/>
        </w:rPr>
      </w:r>
    </w:p>
    <w:p>
      <w:pPr>
        <w:pStyle w:val="ListParagraph"/>
        <w:widowControl w:val="false"/>
        <w:numPr>
          <w:ilvl w:val="3"/>
          <w:numId w:val="17"/>
        </w:numPr>
        <w:shd w:val="clear" w:color="auto" w:fill="FFFFFF"/>
        <w:spacing w:before="60" w:after="60"/>
        <w:ind w:hanging="360" w:start="426"/>
        <w:jc w:val="both"/>
        <w:rPr>
          <w:rFonts w:ascii="Times New Roman" w:hAnsi="Times New Roman"/>
        </w:rPr>
      </w:pPr>
      <w:r>
        <w:rPr>
          <w:rFonts w:cs="Arial" w:ascii="Times New Roman" w:hAnsi="Times New Roman"/>
        </w:rPr>
        <w:t>Środki ochrony prawnej określone w dziale IX ustawy Pzp przysługują wykonawcy, uczestnikowi konkursu oraz innemu podmiotowi, jeżeli ma lub miał interes w uzyskaniu zamówienia lub nagrody w konkursie oraz poniósł lub może ponieść szkodę w wyniku naruszenia przez zamawiającego przepisów ustawy Pzp.</w:t>
      </w:r>
    </w:p>
    <w:p>
      <w:pPr>
        <w:pStyle w:val="ListParagraph"/>
        <w:widowControl w:val="false"/>
        <w:numPr>
          <w:ilvl w:val="3"/>
          <w:numId w:val="17"/>
        </w:numPr>
        <w:shd w:val="clear" w:color="auto" w:fill="FFFFFF"/>
        <w:spacing w:before="60" w:after="60"/>
        <w:ind w:hanging="360" w:start="426"/>
        <w:jc w:val="both"/>
        <w:rPr>
          <w:rFonts w:ascii="Times New Roman" w:hAnsi="Times New Roman"/>
        </w:rPr>
      </w:pPr>
      <w:r>
        <w:rPr>
          <w:rFonts w:cs="Arial" w:ascii="Times New Roman" w:hAnsi="Times New Roman"/>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pPr>
        <w:pStyle w:val="ListParagraph"/>
        <w:widowControl w:val="false"/>
        <w:numPr>
          <w:ilvl w:val="3"/>
          <w:numId w:val="17"/>
        </w:numPr>
        <w:shd w:val="clear" w:color="auto" w:fill="FFFFFF"/>
        <w:spacing w:before="60" w:after="60"/>
        <w:ind w:hanging="360" w:start="426"/>
        <w:jc w:val="both"/>
        <w:rPr>
          <w:rFonts w:ascii="Times New Roman" w:hAnsi="Times New Roman"/>
        </w:rPr>
      </w:pPr>
      <w:r>
        <w:rPr>
          <w:rFonts w:cs="Arial" w:ascii="Times New Roman" w:hAnsi="Times New Roman"/>
        </w:rPr>
        <w:t>Odwołanie przysługuje na:</w:t>
      </w:r>
    </w:p>
    <w:p>
      <w:pPr>
        <w:pStyle w:val="Standard"/>
        <w:widowControl w:val="false"/>
        <w:numPr>
          <w:ilvl w:val="0"/>
          <w:numId w:val="17"/>
        </w:numPr>
        <w:shd w:val="clear" w:color="auto" w:fill="FFFFFF"/>
        <w:spacing w:lineRule="auto" w:line="276" w:before="60" w:after="60"/>
        <w:ind w:hanging="283" w:start="567"/>
        <w:jc w:val="both"/>
        <w:rPr>
          <w:rFonts w:ascii="Times New Roman" w:hAnsi="Times New Roman"/>
        </w:rPr>
      </w:pPr>
      <w:r>
        <w:rPr>
          <w:rFonts w:cs="Arial" w:ascii="Times New Roman" w:hAnsi="Times New Roman"/>
          <w:sz w:val="22"/>
          <w:szCs w:val="22"/>
        </w:rPr>
        <w:t>1)</w:t>
        <w:tab/>
        <w:t xml:space="preserve">niezgodną z przepisami ustawy czynność Zamawiającego, podjętą w postępowaniu </w:t>
        <w:br/>
        <w:t>o udzielenie zamówienia, w tym na projektowane postanowienie umowy;</w:t>
      </w:r>
    </w:p>
    <w:p>
      <w:pPr>
        <w:pStyle w:val="Standard"/>
        <w:widowControl w:val="false"/>
        <w:numPr>
          <w:ilvl w:val="0"/>
          <w:numId w:val="17"/>
        </w:numPr>
        <w:shd w:val="clear" w:color="auto" w:fill="FFFFFF"/>
        <w:spacing w:lineRule="auto" w:line="276" w:before="60" w:after="60"/>
        <w:ind w:hanging="283" w:start="567"/>
        <w:jc w:val="both"/>
        <w:rPr>
          <w:rFonts w:ascii="Times New Roman" w:hAnsi="Times New Roman"/>
        </w:rPr>
      </w:pPr>
      <w:r>
        <w:rPr>
          <w:rFonts w:cs="Arial" w:ascii="Times New Roman" w:hAnsi="Times New Roman"/>
          <w:sz w:val="22"/>
          <w:szCs w:val="22"/>
        </w:rPr>
        <w:t>2)</w:t>
        <w:tab/>
        <w:t>zaniechanie czynności w postępowaniu o udzielenie zamówienia do której zamawiający był obowiązany na podstawie ustawy.</w:t>
      </w:r>
    </w:p>
    <w:p>
      <w:pPr>
        <w:pStyle w:val="Standard"/>
        <w:widowControl w:val="false"/>
        <w:numPr>
          <w:ilvl w:val="0"/>
          <w:numId w:val="17"/>
        </w:numPr>
        <w:shd w:val="clear" w:color="auto" w:fill="FFFFFF"/>
        <w:spacing w:lineRule="auto" w:line="276" w:before="60" w:after="60"/>
        <w:ind w:hanging="284" w:start="284"/>
        <w:jc w:val="both"/>
        <w:rPr>
          <w:rFonts w:ascii="Times New Roman" w:hAnsi="Times New Roman"/>
        </w:rPr>
      </w:pPr>
      <w:r>
        <w:rPr>
          <w:rFonts w:cs="Arial" w:ascii="Times New Roman" w:hAnsi="Times New Roman"/>
          <w:sz w:val="22"/>
          <w:szCs w:val="22"/>
        </w:rPr>
        <w:t>4.</w:t>
        <w:tab/>
        <w:t>Odwołanie wnosi się do Prezesa Izby. Odwołujący przekazuje kopię odwołania Zamawiającemu przed upływem terminu do wniesienia odwołania w taki sposób, aby mógł on zapoznać się z jego treścią przed upływem tego terminu.</w:t>
      </w:r>
    </w:p>
    <w:p>
      <w:pPr>
        <w:pStyle w:val="ListParagraph"/>
        <w:numPr>
          <w:ilvl w:val="0"/>
          <w:numId w:val="17"/>
        </w:numPr>
        <w:spacing w:before="60" w:after="60"/>
        <w:ind w:hanging="284" w:start="284"/>
        <w:jc w:val="both"/>
        <w:rPr>
          <w:rFonts w:ascii="Times New Roman" w:hAnsi="Times New Roman"/>
        </w:rPr>
      </w:pPr>
      <w:r>
        <w:rPr>
          <w:rFonts w:cs="Arial" w:ascii="Times New Roman" w:hAnsi="Times New Roman"/>
        </w:rPr>
        <w:t>Odwołanie wobec treści ogłoszenia lub treści SWZ wnosi się w terminie 5 dni od dnia zamieszczenia ogłoszenia w Biuletynie Zamówień Publicznych lub treści SWZ na stronie internetowej.</w:t>
      </w:r>
    </w:p>
    <w:p>
      <w:pPr>
        <w:pStyle w:val="ListParagraph"/>
        <w:numPr>
          <w:ilvl w:val="0"/>
          <w:numId w:val="17"/>
        </w:numPr>
        <w:spacing w:before="60" w:after="60"/>
        <w:ind w:hanging="284" w:start="284"/>
        <w:jc w:val="both"/>
        <w:rPr>
          <w:rFonts w:ascii="Times New Roman" w:hAnsi="Times New Roman"/>
        </w:rPr>
      </w:pPr>
      <w:r>
        <w:rPr>
          <w:rFonts w:cs="Arial" w:ascii="Times New Roman" w:hAnsi="Times New Roman"/>
        </w:rPr>
        <w:t>Odwołanie wnosi się w terminie:</w:t>
      </w:r>
    </w:p>
    <w:p>
      <w:pPr>
        <w:pStyle w:val="ListParagraph"/>
        <w:numPr>
          <w:ilvl w:val="0"/>
          <w:numId w:val="80"/>
        </w:numPr>
        <w:spacing w:before="60" w:after="60"/>
        <w:ind w:hanging="283" w:start="567"/>
        <w:jc w:val="both"/>
        <w:rPr>
          <w:rFonts w:ascii="Times New Roman" w:hAnsi="Times New Roman"/>
        </w:rPr>
      </w:pPr>
      <w:r>
        <w:rPr>
          <w:rFonts w:cs="Arial" w:ascii="Times New Roman" w:hAnsi="Times New Roman"/>
        </w:rPr>
        <w:t>5 dni od dnia przekazania informacji o czynności zamawiającego stanowiącej podstawę jego wniesienia, jeżeli informacja została przekazana przy użyciu środków komunikacji elektronicznej,</w:t>
      </w:r>
    </w:p>
    <w:p>
      <w:pPr>
        <w:pStyle w:val="ListParagraph"/>
        <w:numPr>
          <w:ilvl w:val="0"/>
          <w:numId w:val="17"/>
        </w:numPr>
        <w:tabs>
          <w:tab w:val="clear" w:pos="709"/>
          <w:tab w:val="center" w:pos="1701" w:leader="none"/>
        </w:tabs>
        <w:spacing w:before="60" w:after="60"/>
        <w:ind w:hanging="283" w:start="567"/>
        <w:jc w:val="both"/>
        <w:rPr>
          <w:rFonts w:ascii="Times New Roman" w:hAnsi="Times New Roman"/>
        </w:rPr>
      </w:pPr>
      <w:r>
        <w:rPr>
          <w:rFonts w:cs="Arial" w:ascii="Times New Roman" w:hAnsi="Times New Roman"/>
        </w:rPr>
        <w:t>10 dni od dnia przekazania informacji o czynności zamawiającego stanowiącej podstawę jego wniesienia, jeżeli informacja została przekazana w sposób inny niż określony w pkt 1.</w:t>
      </w:r>
    </w:p>
    <w:p>
      <w:pPr>
        <w:pStyle w:val="ListParagraph"/>
        <w:numPr>
          <w:ilvl w:val="0"/>
          <w:numId w:val="17"/>
        </w:numPr>
        <w:spacing w:before="60" w:after="60"/>
        <w:ind w:hanging="284" w:start="284"/>
        <w:jc w:val="both"/>
        <w:rPr>
          <w:rFonts w:ascii="Times New Roman" w:hAnsi="Times New Roman"/>
        </w:rPr>
      </w:pPr>
      <w:r>
        <w:rPr>
          <w:rFonts w:cs="Arial" w:ascii="Times New Roman" w:hAnsi="Times New Roman"/>
        </w:rPr>
        <w:t>Odwołanie w przypadkach innych niż określone w pkt 5 i 6 wnosi się w terminie 5 dni od dnia, w którym powzięto lub przy zachowaniu należytej staranności można było powziąć wiadomość o okolicznościach stanowiących podstawę jego wniesienia.</w:t>
      </w:r>
    </w:p>
    <w:p>
      <w:pPr>
        <w:pStyle w:val="ListParagraph"/>
        <w:numPr>
          <w:ilvl w:val="0"/>
          <w:numId w:val="17"/>
        </w:numPr>
        <w:spacing w:before="60" w:after="60"/>
        <w:ind w:hanging="284" w:start="284"/>
        <w:jc w:val="both"/>
        <w:rPr>
          <w:rFonts w:ascii="Times New Roman" w:hAnsi="Times New Roman"/>
        </w:rPr>
      </w:pPr>
      <w:r>
        <w:rPr>
          <w:rFonts w:cs="Arial" w:ascii="Times New Roman" w:hAnsi="Times New Roman"/>
        </w:rPr>
        <w:t>Na orzeczenie Izby oraz postanowienie Prezesa Izby, o którym mowa w art. 519 ust. 1 ustawy Pzp, stronom oraz uczestnikom postępowania odwoławczego przysługuje skarga do sądu.</w:t>
      </w:r>
    </w:p>
    <w:p>
      <w:pPr>
        <w:pStyle w:val="ListParagraph"/>
        <w:numPr>
          <w:ilvl w:val="0"/>
          <w:numId w:val="17"/>
        </w:numPr>
        <w:spacing w:before="60" w:after="60"/>
        <w:ind w:hanging="284" w:start="284"/>
        <w:jc w:val="both"/>
        <w:rPr>
          <w:rFonts w:ascii="Times New Roman" w:hAnsi="Times New Roman"/>
        </w:rPr>
      </w:pPr>
      <w:r>
        <w:rPr>
          <w:rFonts w:cs="Arial" w:ascii="Times New Roman" w:hAnsi="Times New Roman"/>
        </w:rPr>
        <w:t>W postępowaniu toczącym się wskutek wniesienia skargi stosuje się odpowiednio przepisy ustawy z dnia 17 listopada 1964 r. –</w:t>
      </w:r>
      <w:r>
        <w:rPr>
          <w:rFonts w:cs="Arial" w:ascii="Times New Roman" w:hAnsi="Times New Roman"/>
          <w:b/>
        </w:rPr>
        <w:t xml:space="preserve"> </w:t>
      </w:r>
      <w:r>
        <w:rPr>
          <w:rFonts w:cs="Arial" w:ascii="Times New Roman" w:hAnsi="Times New Roman"/>
        </w:rPr>
        <w:t>Kodeks postępowania cywilnego o apelacji, jeżeli przepisy niniejszego rozdziału nie stanowią inaczej.</w:t>
      </w:r>
    </w:p>
    <w:p>
      <w:pPr>
        <w:pStyle w:val="ListParagraph"/>
        <w:numPr>
          <w:ilvl w:val="0"/>
          <w:numId w:val="17"/>
        </w:numPr>
        <w:spacing w:before="60" w:after="60"/>
        <w:ind w:hanging="426" w:start="426"/>
        <w:jc w:val="both"/>
        <w:rPr>
          <w:rFonts w:ascii="Times New Roman" w:hAnsi="Times New Roman"/>
        </w:rPr>
      </w:pPr>
      <w:r>
        <w:rPr>
          <w:rFonts w:cs="Arial" w:ascii="Times New Roman" w:hAnsi="Times New Roman"/>
        </w:rPr>
        <w:t>Skargę wnosi się do Sądu Okręgowego w Warszawie - sądu zamówień publicznych, zwanego dalej "sądem zamówień publicznych".</w:t>
      </w:r>
    </w:p>
    <w:p>
      <w:pPr>
        <w:pStyle w:val="ListParagraph"/>
        <w:numPr>
          <w:ilvl w:val="0"/>
          <w:numId w:val="17"/>
        </w:numPr>
        <w:spacing w:before="60" w:after="60"/>
        <w:ind w:hanging="426" w:start="426"/>
        <w:jc w:val="both"/>
        <w:rPr>
          <w:rFonts w:ascii="Times New Roman" w:hAnsi="Times New Roman"/>
        </w:rPr>
      </w:pPr>
      <w:r>
        <w:rPr>
          <w:rFonts w:cs="Arial" w:ascii="Times New Roman" w:hAnsi="Times New Roman"/>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w:t>
      </w:r>
      <w:r>
        <w:rPr>
          <w:rFonts w:cs="Arial" w:ascii="Times New Roman" w:hAnsi="Times New Roman"/>
          <w:b/>
        </w:rPr>
        <w:t xml:space="preserve"> </w:t>
      </w:r>
      <w:r>
        <w:rPr>
          <w:rFonts w:cs="Arial" w:ascii="Times New Roman" w:hAnsi="Times New Roman"/>
          <w:bCs/>
        </w:rPr>
        <w:t>–</w:t>
      </w:r>
      <w:r>
        <w:rPr>
          <w:rFonts w:cs="Arial" w:ascii="Times New Roman" w:hAnsi="Times New Roman"/>
          <w:b/>
        </w:rPr>
        <w:t xml:space="preserve"> </w:t>
      </w:r>
      <w:r>
        <w:rPr>
          <w:rFonts w:cs="Arial" w:ascii="Times New Roman" w:hAnsi="Times New Roman"/>
        </w:rPr>
        <w:t>Prawo pocztowe jest równoznaczne z jej wniesieniem.</w:t>
      </w:r>
    </w:p>
    <w:p>
      <w:pPr>
        <w:pStyle w:val="ListParagraph"/>
        <w:numPr>
          <w:ilvl w:val="0"/>
          <w:numId w:val="17"/>
        </w:numPr>
        <w:spacing w:before="60" w:after="60"/>
        <w:ind w:hanging="426" w:start="426"/>
        <w:jc w:val="both"/>
        <w:rPr>
          <w:rFonts w:ascii="Times New Roman" w:hAnsi="Times New Roman"/>
        </w:rPr>
      </w:pPr>
      <w:r>
        <w:rPr>
          <w:rFonts w:cs="Arial" w:ascii="Times New Roman" w:hAnsi="Times New Roman"/>
        </w:rPr>
        <w:t>Prezes Izby przekazuje skargę wraz z aktami postępowania odwoławczego do sądu zamówień publicznych w terminie 7 dni od dnia jej otrzymania.</w:t>
      </w:r>
    </w:p>
    <w:p>
      <w:pPr>
        <w:pStyle w:val="ListParagraph"/>
        <w:numPr>
          <w:ilvl w:val="0"/>
          <w:numId w:val="17"/>
        </w:numPr>
        <w:spacing w:before="60" w:after="60"/>
        <w:ind w:hanging="426" w:start="426"/>
        <w:jc w:val="both"/>
        <w:rPr>
          <w:rFonts w:ascii="Times New Roman" w:hAnsi="Times New Roman"/>
        </w:rPr>
      </w:pPr>
      <w:r>
        <w:rPr>
          <w:rFonts w:cs="Arial" w:ascii="Times New Roman" w:hAnsi="Times New Roman"/>
        </w:rPr>
        <w:t>Szczegółowe informacje dotyczące środków ochrony prawnej określone są w Dziale IX „Środki ochrony prawnej” ustawy Pzp.</w:t>
      </w:r>
    </w:p>
    <w:p>
      <w:pPr>
        <w:pStyle w:val="Standard"/>
        <w:widowControl w:val="false"/>
        <w:numPr>
          <w:ilvl w:val="0"/>
          <w:numId w:val="0"/>
        </w:numPr>
        <w:bidi w:val="0"/>
        <w:spacing w:lineRule="auto" w:line="276" w:before="60" w:after="60"/>
        <w:ind w:hanging="0" w:start="1712" w:end="28"/>
        <w:jc w:val="both"/>
        <w:rPr>
          <w:rFonts w:ascii="Times New Roman" w:hAnsi="Times New Roman" w:cs="Arial"/>
          <w:iCs/>
          <w:sz w:val="22"/>
          <w:szCs w:val="22"/>
        </w:rPr>
      </w:pPr>
      <w:r>
        <w:rPr>
          <w:rFonts w:cs="Arial" w:ascii="Times New Roman" w:hAnsi="Times New Roman"/>
          <w:iCs/>
          <w:sz w:val="22"/>
          <w:szCs w:val="22"/>
        </w:rPr>
        <w:t>Zał. nr 1 Formularz ofertowy;</w:t>
      </w:r>
    </w:p>
    <w:p>
      <w:pPr>
        <w:pStyle w:val="Standard"/>
        <w:widowControl w:val="false"/>
        <w:numPr>
          <w:ilvl w:val="0"/>
          <w:numId w:val="0"/>
        </w:numPr>
        <w:bidi w:val="0"/>
        <w:spacing w:lineRule="auto" w:line="276" w:before="60" w:after="60"/>
        <w:ind w:hanging="0" w:start="1712" w:end="28"/>
        <w:jc w:val="both"/>
        <w:rPr>
          <w:rFonts w:ascii="Times New Roman" w:hAnsi="Times New Roman" w:cs="Arial"/>
          <w:iCs/>
          <w:sz w:val="22"/>
          <w:szCs w:val="22"/>
        </w:rPr>
      </w:pPr>
      <w:r>
        <w:rPr>
          <w:rFonts w:cs="Arial" w:ascii="Times New Roman" w:hAnsi="Times New Roman"/>
          <w:iCs/>
          <w:sz w:val="22"/>
          <w:szCs w:val="22"/>
        </w:rPr>
        <w:t>zał. nr 2 Oświadczenie o niepodleganiu wykluczeniu i spełnianiu warunków udziału w postępowaniu;</w:t>
      </w:r>
    </w:p>
    <w:p>
      <w:pPr>
        <w:pStyle w:val="Standard"/>
        <w:widowControl w:val="false"/>
        <w:numPr>
          <w:ilvl w:val="0"/>
          <w:numId w:val="0"/>
        </w:numPr>
        <w:bidi w:val="0"/>
        <w:spacing w:lineRule="auto" w:line="276" w:before="60" w:after="60"/>
        <w:ind w:hanging="0" w:start="1712" w:end="28"/>
        <w:jc w:val="both"/>
        <w:rPr>
          <w:rFonts w:ascii="Times New Roman" w:hAnsi="Times New Roman" w:cs="Arial"/>
          <w:iCs/>
          <w:sz w:val="22"/>
          <w:szCs w:val="22"/>
        </w:rPr>
      </w:pPr>
      <w:r>
        <w:rPr>
          <w:rFonts w:cs="Arial" w:ascii="Times New Roman" w:hAnsi="Times New Roman"/>
          <w:iCs/>
          <w:sz w:val="22"/>
          <w:szCs w:val="22"/>
        </w:rPr>
        <w:t xml:space="preserve">Zał. nr 3 </w:t>
      </w:r>
      <w:r>
        <w:rPr>
          <w:rFonts w:cs="Arial" w:ascii="Times New Roman" w:hAnsi="Times New Roman"/>
          <w:b w:val="false"/>
          <w:bCs w:val="false"/>
          <w:iCs/>
          <w:sz w:val="22"/>
          <w:szCs w:val="22"/>
        </w:rPr>
        <w:t>zobowiązanie podmiotu udostępniającego zasoby  do oddania mu do dyspozycji niezbędnych zasobów na potrzeby realizacji zamówienia</w:t>
      </w:r>
    </w:p>
    <w:p>
      <w:pPr>
        <w:pStyle w:val="Standard"/>
        <w:widowControl w:val="false"/>
        <w:numPr>
          <w:ilvl w:val="0"/>
          <w:numId w:val="0"/>
        </w:numPr>
        <w:bidi w:val="0"/>
        <w:spacing w:lineRule="auto" w:line="276" w:before="60" w:after="60"/>
        <w:ind w:hanging="0" w:start="1712" w:end="28"/>
        <w:jc w:val="both"/>
        <w:rPr>
          <w:rFonts w:ascii="Times New Roman" w:hAnsi="Times New Roman" w:cs="Arial"/>
          <w:iCs/>
          <w:sz w:val="22"/>
          <w:szCs w:val="22"/>
        </w:rPr>
      </w:pPr>
      <w:r>
        <w:rPr>
          <w:rFonts w:cs="Arial" w:ascii="Times New Roman" w:hAnsi="Times New Roman"/>
          <w:iCs/>
          <w:sz w:val="22"/>
          <w:szCs w:val="22"/>
        </w:rPr>
        <w:t>zał. nr 4 wzór umowy</w:t>
      </w:r>
    </w:p>
    <w:p>
      <w:pPr>
        <w:pStyle w:val="Standard"/>
        <w:widowControl w:val="false"/>
        <w:numPr>
          <w:ilvl w:val="0"/>
          <w:numId w:val="0"/>
        </w:numPr>
        <w:spacing w:lineRule="auto" w:line="276"/>
        <w:ind w:hanging="0" w:start="1712" w:end="28"/>
        <w:jc w:val="both"/>
        <w:rPr>
          <w:rFonts w:ascii="Times New Roman" w:hAnsi="Times New Roman" w:cs="Arial"/>
          <w:b w:val="false"/>
          <w:bCs w:val="false"/>
          <w:iCs/>
          <w:sz w:val="22"/>
          <w:szCs w:val="22"/>
        </w:rPr>
      </w:pPr>
      <w:r>
        <w:rPr>
          <w:rFonts w:cs="Arial" w:ascii="Times New Roman" w:hAnsi="Times New Roman"/>
          <w:b w:val="false"/>
          <w:bCs w:val="false"/>
          <w:iCs/>
          <w:sz w:val="22"/>
          <w:szCs w:val="22"/>
        </w:rPr>
        <w:t>zał. nr 5 oświadczenie wykonawcy o aktualności informacji zawartych w oświadczeniu, o którym mowa w art. 125 ust. 1 ustawy Pzp</w:t>
      </w:r>
    </w:p>
    <w:p>
      <w:pPr>
        <w:pStyle w:val="Standard"/>
        <w:widowControl w:val="false"/>
        <w:numPr>
          <w:ilvl w:val="0"/>
          <w:numId w:val="0"/>
        </w:numPr>
        <w:bidi w:val="0"/>
        <w:spacing w:lineRule="auto" w:line="276" w:before="60" w:after="60"/>
        <w:ind w:hanging="0" w:start="1712" w:end="28"/>
        <w:jc w:val="both"/>
        <w:rPr>
          <w:rFonts w:ascii="Times New Roman" w:hAnsi="Times New Roman" w:cs="Arial"/>
          <w:b w:val="false"/>
          <w:bCs w:val="false"/>
          <w:iCs/>
          <w:sz w:val="22"/>
          <w:szCs w:val="22"/>
        </w:rPr>
      </w:pPr>
      <w:r>
        <w:rPr>
          <w:rFonts w:cs="Arial" w:ascii="Times New Roman" w:hAnsi="Times New Roman"/>
          <w:b w:val="false"/>
          <w:bCs w:val="false"/>
          <w:iCs/>
          <w:sz w:val="22"/>
          <w:szCs w:val="22"/>
        </w:rPr>
        <w:t>zał. nr 6 oświadczenie wykonawców wspólnie ubiegających się o udzielenie zamówienia</w:t>
      </w:r>
    </w:p>
    <w:p>
      <w:pPr>
        <w:pStyle w:val="Normal"/>
        <w:bidi w:val="0"/>
        <w:jc w:val="start"/>
        <w:rPr>
          <w:rFonts w:ascii="Times New Roman" w:hAnsi="Times New Roman"/>
        </w:rPr>
      </w:pPr>
      <w:r>
        <w:rPr>
          <w:rFonts w:ascii="Times New Roman" w:hAnsi="Times New Roman"/>
        </w:rPr>
      </w:r>
    </w:p>
    <w:sectPr>
      <w:headerReference w:type="even" r:id="rId6"/>
      <w:headerReference w:type="default" r:id="rId7"/>
      <w:headerReference w:type="first" r:id="rId8"/>
      <w:type w:val="nextPage"/>
      <w:pgSz w:w="11906" w:h="16838"/>
      <w:pgMar w:left="1134" w:right="1134" w:gutter="0" w:header="1134" w:top="2010"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Times New Roman">
    <w:charset w:val="ee" w:characterSet="windows-1250"/>
    <w:family w:val="roman"/>
    <w:pitch w:val="variable"/>
  </w:font>
  <w:font w:name="Tahoma">
    <w:charset w:val="ee" w:characterSet="windows-1250"/>
    <w:family w:val="roman"/>
    <w:pitch w:val="variable"/>
  </w:font>
  <w:font w:name="Arial">
    <w:charset w:val="ee" w:characterSet="windows-1250"/>
    <w:family w:val="swiss"/>
    <w:pitch w:val="variable"/>
  </w:font>
  <w:font w:name="Liberation Sans">
    <w:altName w:val="Arial"/>
    <w:charset w:val="ee" w:characterSet="windows-1250"/>
    <w:family w:val="swiss"/>
    <w:pitch w:val="variable"/>
  </w:font>
  <w:font w:name="Calibri">
    <w:charset w:val="ee" w:characterSet="windows-1250"/>
    <w:family w:val="roman"/>
    <w:pitch w:val="variable"/>
  </w:font>
  <w:font w:name="Symbol">
    <w:charset w:val="ee" w:characterSet="windows-125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2600" w:leader="none"/>
        <w:tab w:val="left" w:pos="3970" w:leader="none"/>
      </w:tabs>
      <w:suppressAutoHyphens w:val="true"/>
      <w:spacing w:lineRule="auto" w:line="264" w:before="0" w:after="0"/>
      <w:ind w:hanging="142" w:start="142"/>
      <w:jc w:val="end"/>
      <w:rPr>
        <w:rFonts w:ascii="Arial" w:hAnsi="Arial" w:eastAsia="Calibri" w:cs="Arial"/>
        <w:bCs/>
        <w:lang w:eastAsia="zh-CN"/>
      </w:rPr>
    </w:pPr>
    <w:r>
      <w:rPr>
        <w:rFonts w:eastAsia="Calibri" w:cs="Arial" w:ascii="Times New Roman" w:hAnsi="Times New Roman"/>
        <w:b w:val="false"/>
        <w:bCs w:val="false"/>
        <w:i/>
        <w:iCs/>
        <w:sz w:val="24"/>
        <w:szCs w:val="24"/>
        <w:lang w:eastAsia="zh-CN"/>
      </w:rPr>
      <w:t>Zp1/03/2026 Zakup oraz sukcesywne dostawy oleju opałowego lekkiego</w:t>
    </w:r>
    <w:r>
      <w:rPr>
        <w:rFonts w:eastAsia="Times New Roman" w:cs="Times New Roman" w:ascii="Times New Roman" w:hAnsi="Times New Roman"/>
        <w:b w:val="false"/>
        <w:bCs w:val="false"/>
        <w:i/>
        <w:iCs/>
        <w:sz w:val="24"/>
        <w:szCs w:val="24"/>
        <w:lang w:eastAsia="pl-PL"/>
      </w:rPr>
      <w:t xml:space="preserve"> na potrzeby Szkoły Podstawowej nr 13 </w:t>
    </w:r>
    <w:r>
      <w:rPr>
        <w:rFonts w:eastAsia="Calibri" w:cs="Arial" w:ascii="Times New Roman" w:hAnsi="Times New Roman"/>
        <w:b w:val="false"/>
        <w:bCs w:val="false"/>
        <w:i/>
        <w:iCs/>
        <w:sz w:val="24"/>
        <w:szCs w:val="24"/>
        <w:lang w:eastAsia="zh-CN"/>
      </w:rPr>
      <w:t xml:space="preserve">im. Orląt Lwowskich </w:t>
    </w:r>
    <w:r>
      <w:rPr>
        <w:rFonts w:eastAsia="Times New Roman" w:cs="Times New Roman" w:ascii="Times New Roman" w:hAnsi="Times New Roman"/>
        <w:b w:val="false"/>
        <w:bCs w:val="false"/>
        <w:i/>
        <w:iCs/>
        <w:sz w:val="24"/>
        <w:szCs w:val="24"/>
        <w:lang w:eastAsia="pl-PL"/>
      </w:rPr>
      <w:t xml:space="preserve">w Głogowie w 2026 r. </w:t>
    </w:r>
    <w:r>
      <w:rPr>
        <w:rFonts w:eastAsia="Calibri" w:cs="Arial" w:ascii="Arial" w:hAnsi="Arial"/>
        <w:b w:val="false"/>
        <w:bCs/>
        <w:i/>
        <w:iCs/>
        <w:sz w:val="24"/>
        <w:szCs w:val="24"/>
        <w:lang w:eastAsia="zh-CN"/>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2600" w:leader="none"/>
        <w:tab w:val="left" w:pos="3970" w:leader="none"/>
      </w:tabs>
      <w:suppressAutoHyphens w:val="true"/>
      <w:spacing w:lineRule="auto" w:line="264" w:before="0" w:after="0"/>
      <w:ind w:hanging="142" w:start="142"/>
      <w:jc w:val="end"/>
      <w:rPr>
        <w:rFonts w:ascii="Arial" w:hAnsi="Arial" w:eastAsia="Calibri" w:cs="Arial"/>
        <w:bCs/>
        <w:lang w:eastAsia="zh-CN"/>
      </w:rPr>
    </w:pPr>
    <w:r>
      <w:rPr>
        <w:rFonts w:eastAsia="Calibri" w:cs="Arial" w:ascii="Times New Roman" w:hAnsi="Times New Roman"/>
        <w:b w:val="false"/>
        <w:bCs w:val="false"/>
        <w:i/>
        <w:iCs/>
        <w:sz w:val="24"/>
        <w:szCs w:val="24"/>
        <w:lang w:eastAsia="zh-CN"/>
      </w:rPr>
      <w:t>Zp1/03/2026 Zakup oraz sukcesywne dostawy oleju opałowego lekkiego</w:t>
    </w:r>
    <w:r>
      <w:rPr>
        <w:rFonts w:eastAsia="Times New Roman" w:cs="Times New Roman" w:ascii="Times New Roman" w:hAnsi="Times New Roman"/>
        <w:b w:val="false"/>
        <w:bCs w:val="false"/>
        <w:i/>
        <w:iCs/>
        <w:sz w:val="24"/>
        <w:szCs w:val="24"/>
        <w:lang w:eastAsia="pl-PL"/>
      </w:rPr>
      <w:t xml:space="preserve"> na potrzeby Szkoły Podstawowej nr 13 </w:t>
    </w:r>
    <w:r>
      <w:rPr>
        <w:rFonts w:eastAsia="Calibri" w:cs="Arial" w:ascii="Times New Roman" w:hAnsi="Times New Roman"/>
        <w:b w:val="false"/>
        <w:bCs w:val="false"/>
        <w:i/>
        <w:iCs/>
        <w:sz w:val="24"/>
        <w:szCs w:val="24"/>
        <w:lang w:eastAsia="zh-CN"/>
      </w:rPr>
      <w:t xml:space="preserve">im. Orląt Lwowskich </w:t>
    </w:r>
    <w:r>
      <w:rPr>
        <w:rFonts w:eastAsia="Times New Roman" w:cs="Times New Roman" w:ascii="Times New Roman" w:hAnsi="Times New Roman"/>
        <w:b w:val="false"/>
        <w:bCs w:val="false"/>
        <w:i/>
        <w:iCs/>
        <w:sz w:val="24"/>
        <w:szCs w:val="24"/>
        <w:lang w:eastAsia="pl-PL"/>
      </w:rPr>
      <w:t xml:space="preserve">w Głogowie w 2026 r. </w:t>
    </w:r>
    <w:r>
      <w:rPr>
        <w:rFonts w:eastAsia="Calibri" w:cs="Arial" w:ascii="Arial" w:hAnsi="Arial"/>
        <w:b w:val="false"/>
        <w:bCs/>
        <w:i/>
        <w:iCs/>
        <w:sz w:val="24"/>
        <w:szCs w:val="24"/>
        <w:lang w:eastAsia="zh-CN"/>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20"/>
        </w:tabs>
        <w:ind w:start="720" w:hanging="360"/>
      </w:pPr>
      <w:rPr>
        <w:b/>
        <w:bCs/>
      </w:rPr>
    </w:lvl>
    <w:lvl w:ilvl="1">
      <w:start w:val="1"/>
      <w:numFmt w:val="decimal"/>
      <w:lvlText w:val="%2."/>
      <w:lvlJc w:val="start"/>
      <w:pPr>
        <w:tabs>
          <w:tab w:val="num" w:pos="0"/>
        </w:tabs>
        <w:ind w:start="1440" w:hanging="360"/>
      </w:pPr>
      <w:rPr/>
    </w:lvl>
    <w:lvl w:ilvl="2">
      <w:start w:val="1"/>
      <w:numFmt w:val="decimal"/>
      <w:lvlText w:val="%3)"/>
      <w:lvlJc w:val="start"/>
      <w:pPr>
        <w:tabs>
          <w:tab w:val="num" w:pos="0"/>
        </w:tabs>
        <w:ind w:start="2160" w:hanging="360"/>
      </w:pPr>
      <w:rPr>
        <w:b w:val="false"/>
        <w:rFonts w:ascii="Calibri" w:hAnsi="Calibri" w:eastAsia="Arial" w:cs="Calibri" w:eastAsiaTheme="minorHAnsi"/>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2">
    <w:lvl w:ilvl="0">
      <w:start w:val="1"/>
      <w:numFmt w:val="bullet"/>
      <w:lvlText w:val=""/>
      <w:lvlJc w:val="start"/>
      <w:pPr>
        <w:tabs>
          <w:tab w:val="num" w:pos="2520"/>
        </w:tabs>
        <w:ind w:start="2520" w:hanging="360"/>
      </w:pPr>
      <w:rPr>
        <w:rFonts w:ascii="Symbol" w:hAnsi="Symbol" w:cs="Symbol" w:hint="default"/>
      </w:rPr>
    </w:lvl>
    <w:lvl w:ilvl="1">
      <w:start w:val="1"/>
      <w:numFmt w:val="bullet"/>
      <w:lvlText w:val="o"/>
      <w:lvlJc w:val="start"/>
      <w:pPr>
        <w:tabs>
          <w:tab w:val="num" w:pos="3240"/>
        </w:tabs>
        <w:ind w:start="3240" w:hanging="360"/>
      </w:pPr>
      <w:rPr>
        <w:rFonts w:ascii="Courier New" w:hAnsi="Courier New" w:cs="Courier New" w:hint="default"/>
      </w:rPr>
    </w:lvl>
    <w:lvl w:ilvl="2">
      <w:start w:val="1"/>
      <w:numFmt w:val="bullet"/>
      <w:lvlText w:val=""/>
      <w:lvlJc w:val="start"/>
      <w:pPr>
        <w:tabs>
          <w:tab w:val="num" w:pos="3960"/>
        </w:tabs>
        <w:ind w:start="3960" w:hanging="360"/>
      </w:pPr>
      <w:rPr>
        <w:rFonts w:ascii="Wingdings" w:hAnsi="Wingdings" w:cs="Wingdings" w:hint="default"/>
      </w:rPr>
    </w:lvl>
    <w:lvl w:ilvl="3">
      <w:start w:val="1"/>
      <w:numFmt w:val="bullet"/>
      <w:lvlText w:val=""/>
      <w:lvlJc w:val="start"/>
      <w:pPr>
        <w:tabs>
          <w:tab w:val="num" w:pos="4680"/>
        </w:tabs>
        <w:ind w:start="4680" w:hanging="360"/>
      </w:pPr>
      <w:rPr>
        <w:rFonts w:ascii="Symbol" w:hAnsi="Symbol" w:cs="Symbol" w:hint="default"/>
      </w:rPr>
    </w:lvl>
    <w:lvl w:ilvl="4">
      <w:start w:val="1"/>
      <w:numFmt w:val="bullet"/>
      <w:lvlText w:val="o"/>
      <w:lvlJc w:val="start"/>
      <w:pPr>
        <w:tabs>
          <w:tab w:val="num" w:pos="5400"/>
        </w:tabs>
        <w:ind w:start="5400" w:hanging="360"/>
      </w:pPr>
      <w:rPr>
        <w:rFonts w:ascii="Courier New" w:hAnsi="Courier New" w:cs="Courier New" w:hint="default"/>
      </w:rPr>
    </w:lvl>
    <w:lvl w:ilvl="5">
      <w:start w:val="1"/>
      <w:numFmt w:val="bullet"/>
      <w:lvlText w:val=""/>
      <w:lvlJc w:val="start"/>
      <w:pPr>
        <w:tabs>
          <w:tab w:val="num" w:pos="6120"/>
        </w:tabs>
        <w:ind w:start="6120" w:hanging="360"/>
      </w:pPr>
      <w:rPr>
        <w:rFonts w:ascii="Wingdings" w:hAnsi="Wingdings" w:cs="Wingdings" w:hint="default"/>
      </w:rPr>
    </w:lvl>
    <w:lvl w:ilvl="6">
      <w:start w:val="1"/>
      <w:numFmt w:val="bullet"/>
      <w:lvlText w:val=""/>
      <w:lvlJc w:val="start"/>
      <w:pPr>
        <w:tabs>
          <w:tab w:val="num" w:pos="6840"/>
        </w:tabs>
        <w:ind w:start="6840" w:hanging="360"/>
      </w:pPr>
      <w:rPr>
        <w:rFonts w:ascii="Symbol" w:hAnsi="Symbol" w:cs="Symbol" w:hint="default"/>
      </w:rPr>
    </w:lvl>
    <w:lvl w:ilvl="7">
      <w:start w:val="1"/>
      <w:numFmt w:val="bullet"/>
      <w:lvlText w:val="o"/>
      <w:lvlJc w:val="start"/>
      <w:pPr>
        <w:tabs>
          <w:tab w:val="num" w:pos="7560"/>
        </w:tabs>
        <w:ind w:start="7560" w:hanging="360"/>
      </w:pPr>
      <w:rPr>
        <w:rFonts w:ascii="Courier New" w:hAnsi="Courier New" w:cs="Courier New" w:hint="default"/>
      </w:rPr>
    </w:lvl>
    <w:lvl w:ilvl="8">
      <w:start w:val="1"/>
      <w:numFmt w:val="bullet"/>
      <w:lvlText w:val=""/>
      <w:lvlJc w:val="start"/>
      <w:pPr>
        <w:tabs>
          <w:tab w:val="num" w:pos="8280"/>
        </w:tabs>
        <w:ind w:start="8280" w:hanging="360"/>
      </w:pPr>
      <w:rPr>
        <w:rFonts w:ascii="Wingdings" w:hAnsi="Wingdings" w:cs="Wingdings" w:hint="default"/>
      </w:rPr>
    </w:lvl>
  </w:abstractNum>
  <w:abstractNum w:abstractNumId="3">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4">
    <w:lvl w:ilvl="0">
      <w:start w:val="1"/>
      <w:numFmt w:val="decimal"/>
      <w:lvlText w:val="%1)"/>
      <w:lvlJc w:val="start"/>
      <w:pPr>
        <w:tabs>
          <w:tab w:val="num" w:pos="0"/>
        </w:tabs>
        <w:ind w:start="1425" w:hanging="360"/>
      </w:pPr>
      <w:rPr>
        <w:sz w:val="22"/>
        <w:b w:val="false"/>
        <w:szCs w:val="22"/>
        <w:rFonts w:ascii="Arial" w:hAnsi="Arial" w:eastAsia="Times New Roman" w:cs="Arial"/>
      </w:rPr>
    </w:lvl>
    <w:lvl w:ilvl="1">
      <w:start w:val="1"/>
      <w:numFmt w:val="lowerLetter"/>
      <w:lvlText w:val="%2."/>
      <w:lvlJc w:val="start"/>
      <w:pPr>
        <w:tabs>
          <w:tab w:val="num" w:pos="0"/>
        </w:tabs>
        <w:ind w:start="2145" w:hanging="360"/>
      </w:pPr>
      <w:rPr/>
    </w:lvl>
    <w:lvl w:ilvl="2">
      <w:start w:val="1"/>
      <w:numFmt w:val="lowerRoman"/>
      <w:lvlText w:val="%3."/>
      <w:lvlJc w:val="end"/>
      <w:pPr>
        <w:tabs>
          <w:tab w:val="num" w:pos="0"/>
        </w:tabs>
        <w:ind w:start="2865" w:hanging="180"/>
      </w:pPr>
      <w:rPr/>
    </w:lvl>
    <w:lvl w:ilvl="3">
      <w:start w:val="1"/>
      <w:numFmt w:val="decimal"/>
      <w:lvlText w:val="%4)"/>
      <w:lvlJc w:val="start"/>
      <w:pPr>
        <w:tabs>
          <w:tab w:val="num" w:pos="0"/>
        </w:tabs>
        <w:ind w:start="3585" w:hanging="360"/>
      </w:pPr>
      <w:rPr>
        <w:rFonts w:cs="Arial"/>
      </w:rPr>
    </w:lvl>
    <w:lvl w:ilvl="4">
      <w:start w:val="1"/>
      <w:numFmt w:val="lowerLetter"/>
      <w:lvlText w:val="%5."/>
      <w:lvlJc w:val="start"/>
      <w:pPr>
        <w:tabs>
          <w:tab w:val="num" w:pos="0"/>
        </w:tabs>
        <w:ind w:start="4305" w:hanging="360"/>
      </w:pPr>
      <w:rPr/>
    </w:lvl>
    <w:lvl w:ilvl="5">
      <w:start w:val="1"/>
      <w:numFmt w:val="lowerRoman"/>
      <w:lvlText w:val="%6."/>
      <w:lvlJc w:val="end"/>
      <w:pPr>
        <w:tabs>
          <w:tab w:val="num" w:pos="0"/>
        </w:tabs>
        <w:ind w:start="5025" w:hanging="180"/>
      </w:pPr>
      <w:rPr/>
    </w:lvl>
    <w:lvl w:ilvl="6">
      <w:start w:val="1"/>
      <w:numFmt w:val="decimal"/>
      <w:lvlText w:val="%7."/>
      <w:lvlJc w:val="start"/>
      <w:pPr>
        <w:tabs>
          <w:tab w:val="num" w:pos="0"/>
        </w:tabs>
        <w:ind w:start="5745" w:hanging="360"/>
      </w:pPr>
      <w:rPr/>
    </w:lvl>
    <w:lvl w:ilvl="7">
      <w:start w:val="1"/>
      <w:numFmt w:val="lowerLetter"/>
      <w:lvlText w:val="%8."/>
      <w:lvlJc w:val="start"/>
      <w:pPr>
        <w:tabs>
          <w:tab w:val="num" w:pos="0"/>
        </w:tabs>
        <w:ind w:start="6465" w:hanging="360"/>
      </w:pPr>
      <w:rPr/>
    </w:lvl>
    <w:lvl w:ilvl="8">
      <w:start w:val="1"/>
      <w:numFmt w:val="lowerRoman"/>
      <w:lvlText w:val="%9."/>
      <w:lvlJc w:val="end"/>
      <w:pPr>
        <w:tabs>
          <w:tab w:val="num" w:pos="0"/>
        </w:tabs>
        <w:ind w:start="7185" w:hanging="180"/>
      </w:pPr>
      <w:rPr/>
    </w:lvl>
  </w:abstractNum>
  <w:abstractNum w:abstractNumId="5">
    <w:lvl w:ilvl="0">
      <w:start w:val="1"/>
      <w:numFmt w:val="bullet"/>
      <w:lvlText w:val=""/>
      <w:lvlJc w:val="start"/>
      <w:pPr>
        <w:tabs>
          <w:tab w:val="num" w:pos="0"/>
        </w:tabs>
        <w:ind w:start="928" w:hanging="360"/>
      </w:pPr>
      <w:rPr>
        <w:rFonts w:ascii="Wingdings" w:hAnsi="Wingdings" w:cs="Wingdings" w:hint="default"/>
      </w:rPr>
    </w:lvl>
    <w:lvl w:ilvl="1">
      <w:start w:val="1"/>
      <w:numFmt w:val="bullet"/>
      <w:lvlText w:val="o"/>
      <w:lvlJc w:val="start"/>
      <w:pPr>
        <w:tabs>
          <w:tab w:val="num" w:pos="0"/>
        </w:tabs>
        <w:ind w:start="1648" w:hanging="360"/>
      </w:pPr>
      <w:rPr>
        <w:rFonts w:ascii="Courier New" w:hAnsi="Courier New" w:cs="Courier New" w:hint="default"/>
      </w:rPr>
    </w:lvl>
    <w:lvl w:ilvl="2">
      <w:start w:val="1"/>
      <w:numFmt w:val="bullet"/>
      <w:lvlText w:val=""/>
      <w:lvlJc w:val="start"/>
      <w:pPr>
        <w:tabs>
          <w:tab w:val="num" w:pos="0"/>
        </w:tabs>
        <w:ind w:start="2368" w:hanging="360"/>
      </w:pPr>
      <w:rPr>
        <w:rFonts w:ascii="Wingdings" w:hAnsi="Wingdings" w:cs="Wingdings" w:hint="default"/>
      </w:rPr>
    </w:lvl>
    <w:lvl w:ilvl="3">
      <w:start w:val="1"/>
      <w:numFmt w:val="bullet"/>
      <w:lvlText w:val=""/>
      <w:lvlJc w:val="start"/>
      <w:pPr>
        <w:tabs>
          <w:tab w:val="num" w:pos="0"/>
        </w:tabs>
        <w:ind w:start="3088" w:hanging="360"/>
      </w:pPr>
      <w:rPr>
        <w:rFonts w:ascii="Symbol" w:hAnsi="Symbol" w:cs="Symbol" w:hint="default"/>
      </w:rPr>
    </w:lvl>
    <w:lvl w:ilvl="4">
      <w:start w:val="1"/>
      <w:numFmt w:val="bullet"/>
      <w:lvlText w:val="o"/>
      <w:lvlJc w:val="start"/>
      <w:pPr>
        <w:tabs>
          <w:tab w:val="num" w:pos="0"/>
        </w:tabs>
        <w:ind w:start="3808" w:hanging="360"/>
      </w:pPr>
      <w:rPr>
        <w:rFonts w:ascii="Courier New" w:hAnsi="Courier New" w:cs="Courier New" w:hint="default"/>
      </w:rPr>
    </w:lvl>
    <w:lvl w:ilvl="5">
      <w:start w:val="1"/>
      <w:numFmt w:val="bullet"/>
      <w:lvlText w:val=""/>
      <w:lvlJc w:val="start"/>
      <w:pPr>
        <w:tabs>
          <w:tab w:val="num" w:pos="0"/>
        </w:tabs>
        <w:ind w:start="4528" w:hanging="360"/>
      </w:pPr>
      <w:rPr>
        <w:rFonts w:ascii="Wingdings" w:hAnsi="Wingdings" w:cs="Wingdings" w:hint="default"/>
      </w:rPr>
    </w:lvl>
    <w:lvl w:ilvl="6">
      <w:start w:val="1"/>
      <w:numFmt w:val="bullet"/>
      <w:lvlText w:val=""/>
      <w:lvlJc w:val="start"/>
      <w:pPr>
        <w:tabs>
          <w:tab w:val="num" w:pos="0"/>
        </w:tabs>
        <w:ind w:start="5248" w:hanging="360"/>
      </w:pPr>
      <w:rPr>
        <w:rFonts w:ascii="Symbol" w:hAnsi="Symbol" w:cs="Symbol" w:hint="default"/>
      </w:rPr>
    </w:lvl>
    <w:lvl w:ilvl="7">
      <w:start w:val="1"/>
      <w:numFmt w:val="bullet"/>
      <w:lvlText w:val="o"/>
      <w:lvlJc w:val="start"/>
      <w:pPr>
        <w:tabs>
          <w:tab w:val="num" w:pos="0"/>
        </w:tabs>
        <w:ind w:start="5968" w:hanging="360"/>
      </w:pPr>
      <w:rPr>
        <w:rFonts w:ascii="Courier New" w:hAnsi="Courier New" w:cs="Courier New" w:hint="default"/>
      </w:rPr>
    </w:lvl>
    <w:lvl w:ilvl="8">
      <w:start w:val="1"/>
      <w:numFmt w:val="bullet"/>
      <w:lvlText w:val=""/>
      <w:lvlJc w:val="start"/>
      <w:pPr>
        <w:tabs>
          <w:tab w:val="num" w:pos="0"/>
        </w:tabs>
        <w:ind w:start="6688" w:hanging="360"/>
      </w:pPr>
      <w:rPr>
        <w:rFonts w:ascii="Wingdings" w:hAnsi="Wingdings" w:cs="Wingdings" w:hint="default"/>
      </w:rPr>
    </w:lvl>
  </w:abstractNum>
  <w:abstractNum w:abstractNumId="6">
    <w:lvl w:ilvl="0">
      <w:start w:val="5"/>
      <w:numFmt w:val="decimal"/>
      <w:lvlText w:val="%1)"/>
      <w:lvlJc w:val="start"/>
      <w:pPr>
        <w:tabs>
          <w:tab w:val="num" w:pos="0"/>
        </w:tabs>
        <w:ind w:start="644" w:hanging="360"/>
      </w:pPr>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7">
    <w:lvl w:ilvl="0">
      <w:start w:val="1"/>
      <w:numFmt w:val="decimal"/>
      <w:lvlText w:val="%1)"/>
      <w:lvlJc w:val="start"/>
      <w:pPr>
        <w:tabs>
          <w:tab w:val="num" w:pos="0"/>
        </w:tabs>
        <w:ind w:start="413" w:hanging="413"/>
      </w:pPr>
      <w:rPr/>
    </w:lvl>
    <w:lvl w:ilvl="1">
      <w:start w:val="1"/>
      <w:numFmt w:val="decimal"/>
      <w:lvlText w:val="%2)"/>
      <w:lvlJc w:val="start"/>
      <w:pPr>
        <w:tabs>
          <w:tab w:val="num" w:pos="0"/>
        </w:tabs>
        <w:ind w:start="488" w:hanging="375"/>
      </w:pPr>
      <w:rPr/>
    </w:lvl>
    <w:lvl w:ilvl="2">
      <w:start w:val="1"/>
      <w:numFmt w:val="decimal"/>
      <w:lvlText w:val="%3."/>
      <w:lvlJc w:val="start"/>
      <w:pPr>
        <w:tabs>
          <w:tab w:val="num" w:pos="0"/>
        </w:tabs>
        <w:ind w:start="644" w:hanging="360"/>
      </w:pPr>
      <w:rPr>
        <w:rFonts w:cs="Arial"/>
      </w:rPr>
    </w:lvl>
    <w:lvl w:ilvl="3">
      <w:start w:val="1"/>
      <w:numFmt w:val="lowerLetter"/>
      <w:lvlText w:val="%4)"/>
      <w:lvlJc w:val="start"/>
      <w:pPr>
        <w:tabs>
          <w:tab w:val="num" w:pos="0"/>
        </w:tabs>
        <w:ind w:start="1640" w:hanging="930"/>
      </w:pPr>
      <w:rPr/>
    </w:lvl>
    <w:lvl w:ilvl="4">
      <w:start w:val="1"/>
      <w:numFmt w:val="lowerLetter"/>
      <w:lvlText w:val="%5."/>
      <w:lvlJc w:val="start"/>
      <w:pPr>
        <w:tabs>
          <w:tab w:val="num" w:pos="0"/>
        </w:tabs>
        <w:ind w:start="2640" w:hanging="360"/>
      </w:pPr>
      <w:rPr/>
    </w:lvl>
    <w:lvl w:ilvl="5">
      <w:start w:val="1"/>
      <w:numFmt w:val="lowerRoman"/>
      <w:lvlText w:val="%6."/>
      <w:lvlJc w:val="end"/>
      <w:pPr>
        <w:tabs>
          <w:tab w:val="num" w:pos="0"/>
        </w:tabs>
        <w:ind w:start="3360" w:hanging="180"/>
      </w:pPr>
      <w:rPr/>
    </w:lvl>
    <w:lvl w:ilvl="6">
      <w:start w:val="1"/>
      <w:numFmt w:val="decimal"/>
      <w:lvlText w:val="%7."/>
      <w:lvlJc w:val="start"/>
      <w:pPr>
        <w:tabs>
          <w:tab w:val="num" w:pos="0"/>
        </w:tabs>
        <w:ind w:start="4080" w:hanging="360"/>
      </w:pPr>
      <w:rPr/>
    </w:lvl>
    <w:lvl w:ilvl="7">
      <w:start w:val="1"/>
      <w:numFmt w:val="lowerLetter"/>
      <w:lvlText w:val="%8."/>
      <w:lvlJc w:val="start"/>
      <w:pPr>
        <w:tabs>
          <w:tab w:val="num" w:pos="0"/>
        </w:tabs>
        <w:ind w:start="4800" w:hanging="360"/>
      </w:pPr>
      <w:rPr/>
    </w:lvl>
    <w:lvl w:ilvl="8">
      <w:start w:val="1"/>
      <w:numFmt w:val="lowerRoman"/>
      <w:lvlText w:val="%9."/>
      <w:lvlJc w:val="end"/>
      <w:pPr>
        <w:tabs>
          <w:tab w:val="num" w:pos="0"/>
        </w:tabs>
        <w:ind w:start="5520" w:hanging="180"/>
      </w:pPr>
      <w:rPr/>
    </w:lvl>
  </w:abstractNum>
  <w:abstractNum w:abstractNumId="8">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1"/>
      <w:numFmt w:val="decimal"/>
      <w:lvlText w:val="%1)"/>
      <w:lvlJc w:val="start"/>
      <w:pPr>
        <w:tabs>
          <w:tab w:val="num" w:pos="0"/>
        </w:tabs>
        <w:ind w:start="720" w:hanging="360"/>
      </w:pPr>
      <w:rPr>
        <w:sz w:val="24"/>
        <w:szCs w:val="24"/>
        <w:rFonts w:ascii="Symbol" w:hAnsi="Symbol" w:cs="Symbol"/>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0">
    <w:lvl w:ilvl="0">
      <w:start w:val="1"/>
      <w:numFmt w:val="decimal"/>
      <w:lvlText w:val="%1)"/>
      <w:lvlJc w:val="start"/>
      <w:pPr>
        <w:tabs>
          <w:tab w:val="num" w:pos="0"/>
        </w:tabs>
        <w:ind w:start="720" w:hanging="360"/>
      </w:pPr>
      <w:rPr>
        <w:sz w:val="24"/>
        <w:szCs w:val="24"/>
        <w:rFonts w:ascii="Symbol" w:hAnsi="Symbol" w:cs="Symbol"/>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1">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2">
    <w:lvl w:ilvl="0">
      <w:start w:val="1"/>
      <w:numFmt w:val="upperRoman"/>
      <w:lvlText w:val="%1."/>
      <w:lvlJc w:val="start"/>
      <w:pPr>
        <w:tabs>
          <w:tab w:val="num" w:pos="0"/>
        </w:tabs>
        <w:ind w:start="1080" w:hanging="720"/>
      </w:pPr>
      <w:rPr>
        <w:sz w:val="24"/>
      </w:rPr>
    </w:lvl>
    <w:lvl w:ilvl="1">
      <w:start w:val="1"/>
      <w:numFmt w:val="lowerLetter"/>
      <w:lvlText w:val="%2)"/>
      <w:lvlJc w:val="start"/>
      <w:pPr>
        <w:tabs>
          <w:tab w:val="num" w:pos="0"/>
        </w:tabs>
        <w:ind w:start="1440" w:hanging="360"/>
      </w:pPr>
      <w:rPr>
        <w:b w:val="false"/>
        <w:bCs w:val="false"/>
        <w:rFonts w:ascii="Arial" w:hAnsi="Arial" w:eastAsia="Arial" w:cs="Arial" w:asciiTheme="minorHAnsi" w:eastAsiaTheme="minorHAnsi" w:hAnsiTheme="minorHAnsi"/>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3">
    <w:lvl w:ilvl="0">
      <w:start w:val="1"/>
      <w:numFmt w:val="decimal"/>
      <w:lvlText w:val="%1."/>
      <w:lvlJc w:val="start"/>
      <w:pPr>
        <w:tabs>
          <w:tab w:val="num" w:pos="0"/>
        </w:tabs>
        <w:ind w:start="0" w:hanging="0"/>
      </w:pPr>
      <w:rPr>
        <w:rFonts w:ascii="Arial" w:hAnsi="Arial" w:eastAsia="Arial" w:cs="Arial" w:asciiTheme="minorHAnsi" w:cstheme="minorHAnsi" w:eastAsiaTheme="minorHAnsi" w:hAnsiTheme="minorHAnsi"/>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14">
    <w:lvl w:ilvl="0">
      <w:start w:val="1"/>
      <w:numFmt w:val="decimal"/>
      <w:lvlText w:val="%1."/>
      <w:lvlJc w:val="start"/>
      <w:pPr>
        <w:tabs>
          <w:tab w:val="num" w:pos="0"/>
        </w:tabs>
        <w:ind w:start="2138" w:hanging="360"/>
      </w:pPr>
      <w:rPr>
        <w:sz w:val="20"/>
        <w:i w:val="false"/>
        <w:b w:val="false"/>
        <w:rFonts w:ascii="Arial" w:hAnsi="Arial"/>
        <w:color w:val="auto"/>
      </w:rPr>
    </w:lvl>
    <w:lvl w:ilvl="1">
      <w:start w:val="1"/>
      <w:numFmt w:val="decimal"/>
      <w:lvlText w:val="%2)"/>
      <w:lvlJc w:val="start"/>
      <w:pPr>
        <w:tabs>
          <w:tab w:val="num" w:pos="0"/>
        </w:tabs>
        <w:ind w:start="2858" w:hanging="360"/>
      </w:pPr>
      <w:rPr/>
    </w:lvl>
    <w:lvl w:ilvl="2">
      <w:start w:val="1"/>
      <w:numFmt w:val="lowerRoman"/>
      <w:lvlText w:val="%3."/>
      <w:lvlJc w:val="end"/>
      <w:pPr>
        <w:tabs>
          <w:tab w:val="num" w:pos="0"/>
        </w:tabs>
        <w:ind w:start="3578" w:hanging="180"/>
      </w:pPr>
      <w:rPr/>
    </w:lvl>
    <w:lvl w:ilvl="3">
      <w:start w:val="1"/>
      <w:numFmt w:val="decimal"/>
      <w:lvlText w:val="%4."/>
      <w:lvlJc w:val="start"/>
      <w:pPr>
        <w:tabs>
          <w:tab w:val="num" w:pos="0"/>
        </w:tabs>
        <w:ind w:start="4298" w:hanging="360"/>
      </w:pPr>
      <w:rPr/>
    </w:lvl>
    <w:lvl w:ilvl="4">
      <w:start w:val="1"/>
      <w:numFmt w:val="lowerLetter"/>
      <w:lvlText w:val="%5."/>
      <w:lvlJc w:val="start"/>
      <w:pPr>
        <w:tabs>
          <w:tab w:val="num" w:pos="0"/>
        </w:tabs>
        <w:ind w:start="5018" w:hanging="360"/>
      </w:pPr>
      <w:rPr/>
    </w:lvl>
    <w:lvl w:ilvl="5">
      <w:start w:val="1"/>
      <w:numFmt w:val="lowerRoman"/>
      <w:lvlText w:val="%6."/>
      <w:lvlJc w:val="end"/>
      <w:pPr>
        <w:tabs>
          <w:tab w:val="num" w:pos="0"/>
        </w:tabs>
        <w:ind w:start="5738" w:hanging="180"/>
      </w:pPr>
      <w:rPr/>
    </w:lvl>
    <w:lvl w:ilvl="6">
      <w:start w:val="1"/>
      <w:numFmt w:val="decimal"/>
      <w:lvlText w:val="%7."/>
      <w:lvlJc w:val="start"/>
      <w:pPr>
        <w:tabs>
          <w:tab w:val="num" w:pos="0"/>
        </w:tabs>
        <w:ind w:start="6458" w:hanging="360"/>
      </w:pPr>
      <w:rPr/>
    </w:lvl>
    <w:lvl w:ilvl="7">
      <w:start w:val="1"/>
      <w:numFmt w:val="lowerLetter"/>
      <w:lvlText w:val="%8."/>
      <w:lvlJc w:val="start"/>
      <w:pPr>
        <w:tabs>
          <w:tab w:val="num" w:pos="0"/>
        </w:tabs>
        <w:ind w:start="7178" w:hanging="360"/>
      </w:pPr>
      <w:rPr/>
    </w:lvl>
    <w:lvl w:ilvl="8">
      <w:start w:val="1"/>
      <w:numFmt w:val="lowerRoman"/>
      <w:lvlText w:val="%9."/>
      <w:lvlJc w:val="end"/>
      <w:pPr>
        <w:tabs>
          <w:tab w:val="num" w:pos="0"/>
        </w:tabs>
        <w:ind w:start="7898" w:hanging="180"/>
      </w:pPr>
      <w:rPr/>
    </w:lvl>
  </w:abstractNum>
  <w:abstractNum w:abstractNumId="15">
    <w:lvl w:ilvl="0">
      <w:start w:val="1"/>
      <w:numFmt w:val="decimal"/>
      <w:lvlText w:val="%1."/>
      <w:lvlJc w:val="start"/>
      <w:pPr>
        <w:tabs>
          <w:tab w:val="num" w:pos="720"/>
        </w:tabs>
        <w:ind w:start="720" w:hanging="360"/>
      </w:pPr>
      <w:rPr>
        <w:rFonts w:ascii="Arial" w:hAnsi="Arial" w:eastAsia="Times New Roman" w:cs="Arial" w:asciiTheme="minorHAnsi" w:cstheme="minorHAnsi" w:hAnsiTheme="minorHAnsi"/>
      </w:rPr>
    </w:lvl>
    <w:lvl w:ilvl="1">
      <w:start w:val="1"/>
      <w:numFmt w:val="decimal"/>
      <w:lvlText w:val="%2)"/>
      <w:lvlJc w:val="start"/>
      <w:pPr>
        <w:tabs>
          <w:tab w:val="num" w:pos="0"/>
        </w:tabs>
        <w:ind w:start="1440" w:hanging="360"/>
      </w:pPr>
      <w:rPr>
        <w:rFonts w:ascii="Arial" w:hAnsi="Arial" w:eastAsia="Arial" w:cs="Arial" w:asciiTheme="minorHAnsi" w:eastAsiaTheme="minorHAnsi" w:hAnsiTheme="minorHAnsi"/>
      </w:rPr>
    </w:lvl>
    <w:lvl w:ilvl="2">
      <w:start w:val="1"/>
      <w:numFmt w:val="decimal"/>
      <w:lvlText w:val="%3)"/>
      <w:lvlJc w:val="start"/>
      <w:pPr>
        <w:tabs>
          <w:tab w:val="num" w:pos="0"/>
        </w:tabs>
        <w:ind w:start="2160" w:hanging="360"/>
      </w:pPr>
      <w:rPr/>
    </w:lvl>
    <w:lvl w:ilvl="3">
      <w:start w:val="1"/>
      <w:numFmt w:val="decimal"/>
      <w:lvlText w:val="%4."/>
      <w:lvlJc w:val="start"/>
      <w:pPr>
        <w:tabs>
          <w:tab w:val="num" w:pos="0"/>
        </w:tabs>
        <w:ind w:start="2880" w:hanging="360"/>
      </w:pPr>
      <w:rPr>
        <w:rFonts w:ascii="Arial" w:hAnsi="Arial" w:eastAsia="Arial" w:cs="Arial" w:asciiTheme="minorHAnsi" w:cstheme="minorHAnsi" w:eastAsiaTheme="minorHAnsi" w:hAnsiTheme="minorHAnsi"/>
      </w:rPr>
    </w:lvl>
    <w:lvl w:ilvl="4">
      <w:start w:val="1"/>
      <w:numFmt w:val="decimal"/>
      <w:lvlText w:val="%5."/>
      <w:lvlJc w:val="start"/>
      <w:pPr>
        <w:tabs>
          <w:tab w:val="num" w:pos="0"/>
        </w:tabs>
        <w:ind w:start="3600" w:hanging="360"/>
      </w:pPr>
      <w:rPr>
        <w:sz w:val="20"/>
        <w:i w:val="false"/>
        <w:b w:val="false"/>
        <w:rFonts w:ascii="Arial" w:hAnsi="Arial"/>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16">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7">
    <w:lvl w:ilvl="0">
      <w:start w:val="1"/>
      <w:numFmt w:val="decimal"/>
      <w:lvlText w:val="%1."/>
      <w:lvlJc w:val="start"/>
      <w:pPr>
        <w:tabs>
          <w:tab w:val="num" w:pos="0"/>
        </w:tabs>
        <w:ind w:start="1712" w:hanging="360"/>
      </w:pPr>
      <w:rPr>
        <w:sz w:val="24"/>
        <w:szCs w:val="24"/>
        <w:rFonts w:ascii="Symbol" w:hAnsi="Symbol" w:cs="Symbol"/>
      </w:rPr>
    </w:lvl>
    <w:lvl w:ilvl="1">
      <w:start w:val="1"/>
      <w:numFmt w:val="decimal"/>
      <w:lvlText w:val="%2)"/>
      <w:lvlJc w:val="start"/>
      <w:pPr>
        <w:tabs>
          <w:tab w:val="num" w:pos="0"/>
        </w:tabs>
        <w:ind w:start="2432" w:hanging="360"/>
      </w:pPr>
      <w:rPr>
        <w:rFonts w:ascii="Arial" w:hAnsi="Arial" w:eastAsia="Arial" w:cs="Arial" w:asciiTheme="minorHAnsi" w:cstheme="minorHAnsi" w:eastAsiaTheme="minorHAnsi" w:hAnsiTheme="minorHAnsi"/>
      </w:rPr>
    </w:lvl>
    <w:lvl w:ilvl="2">
      <w:start w:val="1"/>
      <w:numFmt w:val="lowerRoman"/>
      <w:lvlText w:val="%3."/>
      <w:lvlJc w:val="end"/>
      <w:pPr>
        <w:tabs>
          <w:tab w:val="num" w:pos="0"/>
        </w:tabs>
        <w:ind w:start="3152" w:hanging="180"/>
      </w:pPr>
      <w:rPr/>
    </w:lvl>
    <w:lvl w:ilvl="3">
      <w:start w:val="1"/>
      <w:numFmt w:val="decimal"/>
      <w:lvlText w:val="%4."/>
      <w:lvlJc w:val="start"/>
      <w:pPr>
        <w:tabs>
          <w:tab w:val="num" w:pos="0"/>
        </w:tabs>
        <w:ind w:start="3872" w:hanging="360"/>
      </w:pPr>
      <w:rPr/>
    </w:lvl>
    <w:lvl w:ilvl="4">
      <w:start w:val="1"/>
      <w:numFmt w:val="lowerLetter"/>
      <w:lvlText w:val="%5."/>
      <w:lvlJc w:val="start"/>
      <w:pPr>
        <w:tabs>
          <w:tab w:val="num" w:pos="0"/>
        </w:tabs>
        <w:ind w:start="4592" w:hanging="360"/>
      </w:pPr>
      <w:rPr/>
    </w:lvl>
    <w:lvl w:ilvl="5">
      <w:start w:val="1"/>
      <w:numFmt w:val="lowerRoman"/>
      <w:lvlText w:val="%6."/>
      <w:lvlJc w:val="end"/>
      <w:pPr>
        <w:tabs>
          <w:tab w:val="num" w:pos="0"/>
        </w:tabs>
        <w:ind w:start="5312" w:hanging="180"/>
      </w:pPr>
      <w:rPr/>
    </w:lvl>
    <w:lvl w:ilvl="6">
      <w:start w:val="1"/>
      <w:numFmt w:val="decimal"/>
      <w:lvlText w:val="%7."/>
      <w:lvlJc w:val="start"/>
      <w:pPr>
        <w:tabs>
          <w:tab w:val="num" w:pos="0"/>
        </w:tabs>
        <w:ind w:start="6032" w:hanging="360"/>
      </w:pPr>
      <w:rPr/>
    </w:lvl>
    <w:lvl w:ilvl="7">
      <w:start w:val="1"/>
      <w:numFmt w:val="lowerLetter"/>
      <w:lvlText w:val="%8."/>
      <w:lvlJc w:val="start"/>
      <w:pPr>
        <w:tabs>
          <w:tab w:val="num" w:pos="0"/>
        </w:tabs>
        <w:ind w:start="6752" w:hanging="360"/>
      </w:pPr>
      <w:rPr/>
    </w:lvl>
    <w:lvl w:ilvl="8">
      <w:start w:val="1"/>
      <w:numFmt w:val="lowerRoman"/>
      <w:lvlText w:val="%9."/>
      <w:lvlJc w:val="end"/>
      <w:pPr>
        <w:tabs>
          <w:tab w:val="num" w:pos="0"/>
        </w:tabs>
        <w:ind w:start="7472" w:hanging="180"/>
      </w:pPr>
      <w:rPr/>
    </w:lvl>
  </w:abstractNum>
  <w:abstractNum w:abstractNumId="18">
    <w:lvl w:ilvl="0">
      <w:start w:val="1"/>
      <w:numFmt w:val="lowerLetter"/>
      <w:lvlText w:val="%1)"/>
      <w:lvlJc w:val="start"/>
      <w:pPr>
        <w:tabs>
          <w:tab w:val="num" w:pos="1211"/>
        </w:tabs>
        <w:ind w:start="1211" w:hanging="360"/>
      </w:pPr>
      <w:rPr>
        <w:sz w:val="20"/>
        <w:i w:val="false"/>
        <w:b w:val="false"/>
        <w:szCs w:val="18"/>
        <w:rFonts w:ascii="Arial" w:hAnsi="Arial"/>
        <w:color w:val="auto"/>
      </w:rPr>
    </w:lvl>
    <w:lvl w:ilvl="1">
      <w:start w:val="1"/>
      <w:numFmt w:val="decimal"/>
      <w:lvlText w:val="%2."/>
      <w:lvlJc w:val="start"/>
      <w:pPr>
        <w:tabs>
          <w:tab w:val="num" w:pos="0"/>
        </w:tabs>
        <w:ind w:start="-577" w:hanging="360"/>
      </w:pPr>
      <w:rPr>
        <w:b w:val="false"/>
        <w:bCs w:val="false"/>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
        </w:tabs>
        <w:ind w:start="36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i w:val="false"/>
        <w:b w:val="false"/>
        <w:iCs w:val="false"/>
        <w:bCs w:val="false"/>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19">
    <w:lvl w:ilvl="0">
      <w:start w:val="1"/>
      <w:numFmt w:val="bullet"/>
      <w:lvlText w:val=""/>
      <w:lvlJc w:val="start"/>
      <w:pPr>
        <w:tabs>
          <w:tab w:val="num" w:pos="0"/>
        </w:tabs>
        <w:ind w:start="2199" w:hanging="360"/>
      </w:pPr>
      <w:rPr>
        <w:rFonts w:ascii="Symbol" w:hAnsi="Symbol" w:cs="Symbol" w:hint="default"/>
        <w:color w:val="auto"/>
      </w:rPr>
    </w:lvl>
    <w:lvl w:ilvl="1">
      <w:start w:val="1"/>
      <w:numFmt w:val="bullet"/>
      <w:lvlText w:val="o"/>
      <w:lvlJc w:val="start"/>
      <w:pPr>
        <w:tabs>
          <w:tab w:val="num" w:pos="0"/>
        </w:tabs>
        <w:ind w:start="2919" w:hanging="360"/>
      </w:pPr>
      <w:rPr>
        <w:rFonts w:ascii="Courier New" w:hAnsi="Courier New" w:cs="Courier New" w:hint="default"/>
      </w:rPr>
    </w:lvl>
    <w:lvl w:ilvl="2">
      <w:start w:val="1"/>
      <w:numFmt w:val="bullet"/>
      <w:lvlText w:val=""/>
      <w:lvlJc w:val="start"/>
      <w:pPr>
        <w:tabs>
          <w:tab w:val="num" w:pos="0"/>
        </w:tabs>
        <w:ind w:start="3639" w:hanging="360"/>
      </w:pPr>
      <w:rPr>
        <w:rFonts w:ascii="Wingdings" w:hAnsi="Wingdings" w:cs="Wingdings" w:hint="default"/>
      </w:rPr>
    </w:lvl>
    <w:lvl w:ilvl="3">
      <w:start w:val="1"/>
      <w:numFmt w:val="bullet"/>
      <w:lvlText w:val=""/>
      <w:lvlJc w:val="start"/>
      <w:pPr>
        <w:tabs>
          <w:tab w:val="num" w:pos="0"/>
        </w:tabs>
        <w:ind w:start="4359" w:hanging="360"/>
      </w:pPr>
      <w:rPr>
        <w:rFonts w:ascii="Symbol" w:hAnsi="Symbol" w:cs="Symbol" w:hint="default"/>
      </w:rPr>
    </w:lvl>
    <w:lvl w:ilvl="4">
      <w:start w:val="1"/>
      <w:numFmt w:val="bullet"/>
      <w:lvlText w:val="o"/>
      <w:lvlJc w:val="start"/>
      <w:pPr>
        <w:tabs>
          <w:tab w:val="num" w:pos="0"/>
        </w:tabs>
        <w:ind w:start="5079" w:hanging="360"/>
      </w:pPr>
      <w:rPr>
        <w:rFonts w:ascii="Courier New" w:hAnsi="Courier New" w:cs="Courier New" w:hint="default"/>
      </w:rPr>
    </w:lvl>
    <w:lvl w:ilvl="5">
      <w:start w:val="1"/>
      <w:numFmt w:val="bullet"/>
      <w:lvlText w:val=""/>
      <w:lvlJc w:val="start"/>
      <w:pPr>
        <w:tabs>
          <w:tab w:val="num" w:pos="0"/>
        </w:tabs>
        <w:ind w:start="5799" w:hanging="360"/>
      </w:pPr>
      <w:rPr>
        <w:rFonts w:ascii="Wingdings" w:hAnsi="Wingdings" w:cs="Wingdings" w:hint="default"/>
      </w:rPr>
    </w:lvl>
    <w:lvl w:ilvl="6">
      <w:start w:val="1"/>
      <w:numFmt w:val="bullet"/>
      <w:lvlText w:val=""/>
      <w:lvlJc w:val="start"/>
      <w:pPr>
        <w:tabs>
          <w:tab w:val="num" w:pos="0"/>
        </w:tabs>
        <w:ind w:start="6519" w:hanging="360"/>
      </w:pPr>
      <w:rPr>
        <w:rFonts w:ascii="Symbol" w:hAnsi="Symbol" w:cs="Symbol" w:hint="default"/>
      </w:rPr>
    </w:lvl>
    <w:lvl w:ilvl="7">
      <w:start w:val="1"/>
      <w:numFmt w:val="bullet"/>
      <w:lvlText w:val="o"/>
      <w:lvlJc w:val="start"/>
      <w:pPr>
        <w:tabs>
          <w:tab w:val="num" w:pos="0"/>
        </w:tabs>
        <w:ind w:start="7239" w:hanging="360"/>
      </w:pPr>
      <w:rPr>
        <w:rFonts w:ascii="Courier New" w:hAnsi="Courier New" w:cs="Courier New" w:hint="default"/>
      </w:rPr>
    </w:lvl>
    <w:lvl w:ilvl="8">
      <w:start w:val="1"/>
      <w:numFmt w:val="bullet"/>
      <w:lvlText w:val=""/>
      <w:lvlJc w:val="start"/>
      <w:pPr>
        <w:tabs>
          <w:tab w:val="num" w:pos="0"/>
        </w:tabs>
        <w:ind w:start="7959" w:hanging="360"/>
      </w:pPr>
      <w:rPr>
        <w:rFonts w:ascii="Wingdings" w:hAnsi="Wingdings" w:cs="Wingdings" w:hint="default"/>
      </w:rPr>
    </w:lvl>
  </w:abstractNum>
  <w:abstractNum w:abstractNumId="20">
    <w:lvl w:ilvl="0">
      <w:start w:val="1"/>
      <w:numFmt w:val="decimal"/>
      <w:lvlText w:val="%1."/>
      <w:lvlJc w:val="start"/>
      <w:pPr>
        <w:tabs>
          <w:tab w:val="num" w:pos="0"/>
        </w:tabs>
        <w:ind w:start="502" w:hanging="360"/>
      </w:pPr>
      <w:rPr>
        <w:sz w:val="22"/>
        <w:i w:val="false"/>
        <w:b w:val="false"/>
        <w:szCs w:val="22"/>
        <w:rFonts w:ascii="Arial" w:hAnsi="Arial" w:cs="Arial"/>
      </w:rPr>
    </w:lvl>
    <w:lvl w:ilvl="1">
      <w:start w:val="1"/>
      <w:numFmt w:val="lowerLetter"/>
      <w:lvlText w:val="%2."/>
      <w:lvlJc w:val="start"/>
      <w:pPr>
        <w:tabs>
          <w:tab w:val="num" w:pos="0"/>
        </w:tabs>
        <w:ind w:start="1222" w:hanging="360"/>
      </w:pPr>
      <w:rPr/>
    </w:lvl>
    <w:lvl w:ilvl="2">
      <w:start w:val="1"/>
      <w:numFmt w:val="lowerRoman"/>
      <w:lvlText w:val="%3."/>
      <w:lvlJc w:val="end"/>
      <w:pPr>
        <w:tabs>
          <w:tab w:val="num" w:pos="0"/>
        </w:tabs>
        <w:ind w:start="1942" w:hanging="180"/>
      </w:pPr>
      <w:rPr/>
    </w:lvl>
    <w:lvl w:ilvl="3">
      <w:start w:val="1"/>
      <w:numFmt w:val="decimal"/>
      <w:lvlText w:val="%4."/>
      <w:lvlJc w:val="start"/>
      <w:pPr>
        <w:tabs>
          <w:tab w:val="num" w:pos="0"/>
        </w:tabs>
        <w:ind w:start="2662" w:hanging="360"/>
      </w:pPr>
      <w:rPr/>
    </w:lvl>
    <w:lvl w:ilvl="4">
      <w:start w:val="1"/>
      <w:numFmt w:val="lowerLetter"/>
      <w:lvlText w:val="%5."/>
      <w:lvlJc w:val="start"/>
      <w:pPr>
        <w:tabs>
          <w:tab w:val="num" w:pos="0"/>
        </w:tabs>
        <w:ind w:start="3382" w:hanging="360"/>
      </w:pPr>
      <w:rPr/>
    </w:lvl>
    <w:lvl w:ilvl="5">
      <w:start w:val="1"/>
      <w:numFmt w:val="lowerRoman"/>
      <w:lvlText w:val="%6."/>
      <w:lvlJc w:val="end"/>
      <w:pPr>
        <w:tabs>
          <w:tab w:val="num" w:pos="0"/>
        </w:tabs>
        <w:ind w:start="4102" w:hanging="180"/>
      </w:pPr>
      <w:rPr/>
    </w:lvl>
    <w:lvl w:ilvl="6">
      <w:start w:val="1"/>
      <w:numFmt w:val="decimal"/>
      <w:lvlText w:val="%7."/>
      <w:lvlJc w:val="start"/>
      <w:pPr>
        <w:tabs>
          <w:tab w:val="num" w:pos="0"/>
        </w:tabs>
        <w:ind w:start="4822" w:hanging="360"/>
      </w:pPr>
      <w:rPr/>
    </w:lvl>
    <w:lvl w:ilvl="7">
      <w:start w:val="1"/>
      <w:numFmt w:val="lowerLetter"/>
      <w:lvlText w:val="%8."/>
      <w:lvlJc w:val="start"/>
      <w:pPr>
        <w:tabs>
          <w:tab w:val="num" w:pos="0"/>
        </w:tabs>
        <w:ind w:start="5542" w:hanging="360"/>
      </w:pPr>
      <w:rPr/>
    </w:lvl>
    <w:lvl w:ilvl="8">
      <w:start w:val="1"/>
      <w:numFmt w:val="lowerRoman"/>
      <w:lvlText w:val="%9."/>
      <w:lvlJc w:val="end"/>
      <w:pPr>
        <w:tabs>
          <w:tab w:val="num" w:pos="0"/>
        </w:tabs>
        <w:ind w:start="6262" w:hanging="180"/>
      </w:pPr>
      <w:rPr/>
    </w:lvl>
  </w:abstractNum>
  <w:abstractNum w:abstractNumId="21">
    <w:lvl w:ilvl="0">
      <w:start w:val="1"/>
      <w:numFmt w:val="decimal"/>
      <w:lvlText w:val="%1."/>
      <w:lvlJc w:val="start"/>
      <w:pPr>
        <w:tabs>
          <w:tab w:val="num" w:pos="0"/>
        </w:tabs>
        <w:ind w:start="502" w:hanging="360"/>
      </w:pPr>
      <w:rPr>
        <w:sz w:val="22"/>
        <w:i w:val="false"/>
        <w:b w:val="false"/>
        <w:szCs w:val="22"/>
        <w:rFonts w:ascii="Arial" w:hAnsi="Arial" w:cs="Arial"/>
      </w:rPr>
    </w:lvl>
    <w:lvl w:ilvl="1">
      <w:start w:val="1"/>
      <w:numFmt w:val="lowerLetter"/>
      <w:lvlText w:val="%2."/>
      <w:lvlJc w:val="start"/>
      <w:pPr>
        <w:tabs>
          <w:tab w:val="num" w:pos="0"/>
        </w:tabs>
        <w:ind w:start="1222" w:hanging="360"/>
      </w:pPr>
      <w:rPr/>
    </w:lvl>
    <w:lvl w:ilvl="2">
      <w:start w:val="1"/>
      <w:numFmt w:val="lowerRoman"/>
      <w:lvlText w:val="%3."/>
      <w:lvlJc w:val="end"/>
      <w:pPr>
        <w:tabs>
          <w:tab w:val="num" w:pos="0"/>
        </w:tabs>
        <w:ind w:start="1942" w:hanging="180"/>
      </w:pPr>
      <w:rPr/>
    </w:lvl>
    <w:lvl w:ilvl="3">
      <w:start w:val="1"/>
      <w:numFmt w:val="decimal"/>
      <w:lvlText w:val="%4."/>
      <w:lvlJc w:val="start"/>
      <w:pPr>
        <w:tabs>
          <w:tab w:val="num" w:pos="0"/>
        </w:tabs>
        <w:ind w:start="2662" w:hanging="360"/>
      </w:pPr>
      <w:rPr/>
    </w:lvl>
    <w:lvl w:ilvl="4">
      <w:start w:val="1"/>
      <w:numFmt w:val="lowerLetter"/>
      <w:lvlText w:val="%5."/>
      <w:lvlJc w:val="start"/>
      <w:pPr>
        <w:tabs>
          <w:tab w:val="num" w:pos="0"/>
        </w:tabs>
        <w:ind w:start="3382" w:hanging="360"/>
      </w:pPr>
      <w:rPr/>
    </w:lvl>
    <w:lvl w:ilvl="5">
      <w:start w:val="1"/>
      <w:numFmt w:val="lowerRoman"/>
      <w:lvlText w:val="%6."/>
      <w:lvlJc w:val="end"/>
      <w:pPr>
        <w:tabs>
          <w:tab w:val="num" w:pos="0"/>
        </w:tabs>
        <w:ind w:start="4102" w:hanging="180"/>
      </w:pPr>
      <w:rPr/>
    </w:lvl>
    <w:lvl w:ilvl="6">
      <w:start w:val="1"/>
      <w:numFmt w:val="decimal"/>
      <w:lvlText w:val="%7."/>
      <w:lvlJc w:val="start"/>
      <w:pPr>
        <w:tabs>
          <w:tab w:val="num" w:pos="0"/>
        </w:tabs>
        <w:ind w:start="4822" w:hanging="360"/>
      </w:pPr>
      <w:rPr/>
    </w:lvl>
    <w:lvl w:ilvl="7">
      <w:start w:val="1"/>
      <w:numFmt w:val="lowerLetter"/>
      <w:lvlText w:val="%8."/>
      <w:lvlJc w:val="start"/>
      <w:pPr>
        <w:tabs>
          <w:tab w:val="num" w:pos="0"/>
        </w:tabs>
        <w:ind w:start="5542" w:hanging="360"/>
      </w:pPr>
      <w:rPr/>
    </w:lvl>
    <w:lvl w:ilvl="8">
      <w:start w:val="1"/>
      <w:numFmt w:val="lowerRoman"/>
      <w:lvlText w:val="%9."/>
      <w:lvlJc w:val="end"/>
      <w:pPr>
        <w:tabs>
          <w:tab w:val="num" w:pos="0"/>
        </w:tabs>
        <w:ind w:start="6262" w:hanging="180"/>
      </w:pPr>
      <w:rPr/>
    </w:lvl>
  </w:abstractNum>
  <w:abstractNum w:abstractNumId="22">
    <w:lvl w:ilvl="0">
      <w:start w:val="1"/>
      <w:numFmt w:val="decimal"/>
      <w:lvlText w:val="%1."/>
      <w:lvlJc w:val="start"/>
      <w:pPr>
        <w:tabs>
          <w:tab w:val="num" w:pos="0"/>
        </w:tabs>
        <w:ind w:start="502" w:hanging="360"/>
      </w:pPr>
      <w:rPr>
        <w:sz w:val="22"/>
        <w:i w:val="false"/>
        <w:b w:val="false"/>
        <w:szCs w:val="22"/>
        <w:rFonts w:ascii="Arial" w:hAnsi="Arial" w:cs="Arial"/>
      </w:rPr>
    </w:lvl>
    <w:lvl w:ilvl="1">
      <w:start w:val="1"/>
      <w:numFmt w:val="lowerLetter"/>
      <w:lvlText w:val="%2."/>
      <w:lvlJc w:val="start"/>
      <w:pPr>
        <w:tabs>
          <w:tab w:val="num" w:pos="0"/>
        </w:tabs>
        <w:ind w:start="1222" w:hanging="360"/>
      </w:pPr>
      <w:rPr/>
    </w:lvl>
    <w:lvl w:ilvl="2">
      <w:start w:val="1"/>
      <w:numFmt w:val="lowerRoman"/>
      <w:lvlText w:val="%3."/>
      <w:lvlJc w:val="end"/>
      <w:pPr>
        <w:tabs>
          <w:tab w:val="num" w:pos="0"/>
        </w:tabs>
        <w:ind w:start="1942" w:hanging="180"/>
      </w:pPr>
      <w:rPr/>
    </w:lvl>
    <w:lvl w:ilvl="3">
      <w:start w:val="1"/>
      <w:numFmt w:val="decimal"/>
      <w:lvlText w:val="%4."/>
      <w:lvlJc w:val="start"/>
      <w:pPr>
        <w:tabs>
          <w:tab w:val="num" w:pos="0"/>
        </w:tabs>
        <w:ind w:start="2662" w:hanging="360"/>
      </w:pPr>
      <w:rPr/>
    </w:lvl>
    <w:lvl w:ilvl="4">
      <w:start w:val="1"/>
      <w:numFmt w:val="lowerLetter"/>
      <w:lvlText w:val="%5."/>
      <w:lvlJc w:val="start"/>
      <w:pPr>
        <w:tabs>
          <w:tab w:val="num" w:pos="0"/>
        </w:tabs>
        <w:ind w:start="3382" w:hanging="360"/>
      </w:pPr>
      <w:rPr/>
    </w:lvl>
    <w:lvl w:ilvl="5">
      <w:start w:val="1"/>
      <w:numFmt w:val="lowerRoman"/>
      <w:lvlText w:val="%6."/>
      <w:lvlJc w:val="end"/>
      <w:pPr>
        <w:tabs>
          <w:tab w:val="num" w:pos="0"/>
        </w:tabs>
        <w:ind w:start="4102" w:hanging="180"/>
      </w:pPr>
      <w:rPr/>
    </w:lvl>
    <w:lvl w:ilvl="6">
      <w:start w:val="1"/>
      <w:numFmt w:val="decimal"/>
      <w:lvlText w:val="%7."/>
      <w:lvlJc w:val="start"/>
      <w:pPr>
        <w:tabs>
          <w:tab w:val="num" w:pos="0"/>
        </w:tabs>
        <w:ind w:start="4822" w:hanging="360"/>
      </w:pPr>
      <w:rPr/>
    </w:lvl>
    <w:lvl w:ilvl="7">
      <w:start w:val="1"/>
      <w:numFmt w:val="lowerLetter"/>
      <w:lvlText w:val="%8."/>
      <w:lvlJc w:val="start"/>
      <w:pPr>
        <w:tabs>
          <w:tab w:val="num" w:pos="0"/>
        </w:tabs>
        <w:ind w:start="5542" w:hanging="360"/>
      </w:pPr>
      <w:rPr/>
    </w:lvl>
    <w:lvl w:ilvl="8">
      <w:start w:val="1"/>
      <w:numFmt w:val="lowerRoman"/>
      <w:lvlText w:val="%9."/>
      <w:lvlJc w:val="end"/>
      <w:pPr>
        <w:tabs>
          <w:tab w:val="num" w:pos="0"/>
        </w:tabs>
        <w:ind w:start="6262" w:hanging="180"/>
      </w:pPr>
      <w:rPr/>
    </w:lvl>
  </w:abstractNum>
  <w:abstractNum w:abstractNumId="23">
    <w:lvl w:ilvl="0">
      <w:start w:val="1"/>
      <w:numFmt w:val="decimal"/>
      <w:lvlText w:val="%1."/>
      <w:lvlJc w:val="start"/>
      <w:pPr>
        <w:tabs>
          <w:tab w:val="num" w:pos="0"/>
        </w:tabs>
        <w:ind w:start="502" w:hanging="360"/>
      </w:pPr>
      <w:rPr>
        <w:sz w:val="22"/>
        <w:i w:val="false"/>
        <w:b w:val="false"/>
        <w:szCs w:val="22"/>
        <w:rFonts w:ascii="Arial" w:hAnsi="Arial" w:cs="Arial"/>
      </w:rPr>
    </w:lvl>
    <w:lvl w:ilvl="1">
      <w:start w:val="1"/>
      <w:numFmt w:val="lowerLetter"/>
      <w:lvlText w:val="%2."/>
      <w:lvlJc w:val="start"/>
      <w:pPr>
        <w:tabs>
          <w:tab w:val="num" w:pos="0"/>
        </w:tabs>
        <w:ind w:start="1222" w:hanging="360"/>
      </w:pPr>
      <w:rPr/>
    </w:lvl>
    <w:lvl w:ilvl="2">
      <w:start w:val="1"/>
      <w:numFmt w:val="lowerRoman"/>
      <w:lvlText w:val="%3."/>
      <w:lvlJc w:val="end"/>
      <w:pPr>
        <w:tabs>
          <w:tab w:val="num" w:pos="0"/>
        </w:tabs>
        <w:ind w:start="1942" w:hanging="180"/>
      </w:pPr>
      <w:rPr/>
    </w:lvl>
    <w:lvl w:ilvl="3">
      <w:start w:val="1"/>
      <w:numFmt w:val="decimal"/>
      <w:lvlText w:val="%4."/>
      <w:lvlJc w:val="start"/>
      <w:pPr>
        <w:tabs>
          <w:tab w:val="num" w:pos="0"/>
        </w:tabs>
        <w:ind w:start="2662" w:hanging="360"/>
      </w:pPr>
      <w:rPr/>
    </w:lvl>
    <w:lvl w:ilvl="4">
      <w:start w:val="1"/>
      <w:numFmt w:val="lowerLetter"/>
      <w:lvlText w:val="%5."/>
      <w:lvlJc w:val="start"/>
      <w:pPr>
        <w:tabs>
          <w:tab w:val="num" w:pos="0"/>
        </w:tabs>
        <w:ind w:start="3382" w:hanging="360"/>
      </w:pPr>
      <w:rPr/>
    </w:lvl>
    <w:lvl w:ilvl="5">
      <w:start w:val="1"/>
      <w:numFmt w:val="lowerRoman"/>
      <w:lvlText w:val="%6."/>
      <w:lvlJc w:val="end"/>
      <w:pPr>
        <w:tabs>
          <w:tab w:val="num" w:pos="0"/>
        </w:tabs>
        <w:ind w:start="4102" w:hanging="180"/>
      </w:pPr>
      <w:rPr/>
    </w:lvl>
    <w:lvl w:ilvl="6">
      <w:start w:val="1"/>
      <w:numFmt w:val="decimal"/>
      <w:lvlText w:val="%7."/>
      <w:lvlJc w:val="start"/>
      <w:pPr>
        <w:tabs>
          <w:tab w:val="num" w:pos="0"/>
        </w:tabs>
        <w:ind w:start="4822" w:hanging="360"/>
      </w:pPr>
      <w:rPr/>
    </w:lvl>
    <w:lvl w:ilvl="7">
      <w:start w:val="1"/>
      <w:numFmt w:val="lowerLetter"/>
      <w:lvlText w:val="%8."/>
      <w:lvlJc w:val="start"/>
      <w:pPr>
        <w:tabs>
          <w:tab w:val="num" w:pos="0"/>
        </w:tabs>
        <w:ind w:start="5542" w:hanging="360"/>
      </w:pPr>
      <w:rPr/>
    </w:lvl>
    <w:lvl w:ilvl="8">
      <w:start w:val="1"/>
      <w:numFmt w:val="lowerRoman"/>
      <w:lvlText w:val="%9."/>
      <w:lvlJc w:val="end"/>
      <w:pPr>
        <w:tabs>
          <w:tab w:val="num" w:pos="0"/>
        </w:tabs>
        <w:ind w:start="6262" w:hanging="180"/>
      </w:pPr>
      <w:rPr/>
    </w:lvl>
  </w:abstractNum>
  <w:abstractNum w:abstractNumId="24">
    <w:lvl w:ilvl="0">
      <w:start w:val="1"/>
      <w:numFmt w:val="decimal"/>
      <w:lvlText w:val="%1."/>
      <w:lvlJc w:val="start"/>
      <w:pPr>
        <w:tabs>
          <w:tab w:val="num" w:pos="0"/>
        </w:tabs>
        <w:ind w:start="502" w:hanging="360"/>
      </w:pPr>
      <w:rPr>
        <w:sz w:val="22"/>
        <w:i w:val="false"/>
        <w:b w:val="false"/>
        <w:szCs w:val="22"/>
        <w:rFonts w:ascii="Arial" w:hAnsi="Arial" w:cs="Arial"/>
      </w:rPr>
    </w:lvl>
    <w:lvl w:ilvl="1">
      <w:start w:val="1"/>
      <w:numFmt w:val="lowerLetter"/>
      <w:lvlText w:val="%2."/>
      <w:lvlJc w:val="start"/>
      <w:pPr>
        <w:tabs>
          <w:tab w:val="num" w:pos="0"/>
        </w:tabs>
        <w:ind w:start="1222" w:hanging="360"/>
      </w:pPr>
      <w:rPr/>
    </w:lvl>
    <w:lvl w:ilvl="2">
      <w:start w:val="1"/>
      <w:numFmt w:val="lowerRoman"/>
      <w:lvlText w:val="%3."/>
      <w:lvlJc w:val="end"/>
      <w:pPr>
        <w:tabs>
          <w:tab w:val="num" w:pos="0"/>
        </w:tabs>
        <w:ind w:start="1942" w:hanging="180"/>
      </w:pPr>
      <w:rPr/>
    </w:lvl>
    <w:lvl w:ilvl="3">
      <w:start w:val="1"/>
      <w:numFmt w:val="decimal"/>
      <w:lvlText w:val="%4."/>
      <w:lvlJc w:val="start"/>
      <w:pPr>
        <w:tabs>
          <w:tab w:val="num" w:pos="0"/>
        </w:tabs>
        <w:ind w:start="2662" w:hanging="360"/>
      </w:pPr>
      <w:rPr/>
    </w:lvl>
    <w:lvl w:ilvl="4">
      <w:start w:val="1"/>
      <w:numFmt w:val="lowerLetter"/>
      <w:lvlText w:val="%5."/>
      <w:lvlJc w:val="start"/>
      <w:pPr>
        <w:tabs>
          <w:tab w:val="num" w:pos="0"/>
        </w:tabs>
        <w:ind w:start="3382" w:hanging="360"/>
      </w:pPr>
      <w:rPr/>
    </w:lvl>
    <w:lvl w:ilvl="5">
      <w:start w:val="1"/>
      <w:numFmt w:val="lowerRoman"/>
      <w:lvlText w:val="%6."/>
      <w:lvlJc w:val="end"/>
      <w:pPr>
        <w:tabs>
          <w:tab w:val="num" w:pos="0"/>
        </w:tabs>
        <w:ind w:start="4102" w:hanging="180"/>
      </w:pPr>
      <w:rPr/>
    </w:lvl>
    <w:lvl w:ilvl="6">
      <w:start w:val="1"/>
      <w:numFmt w:val="decimal"/>
      <w:lvlText w:val="%7."/>
      <w:lvlJc w:val="start"/>
      <w:pPr>
        <w:tabs>
          <w:tab w:val="num" w:pos="0"/>
        </w:tabs>
        <w:ind w:start="4822" w:hanging="360"/>
      </w:pPr>
      <w:rPr/>
    </w:lvl>
    <w:lvl w:ilvl="7">
      <w:start w:val="1"/>
      <w:numFmt w:val="lowerLetter"/>
      <w:lvlText w:val="%8."/>
      <w:lvlJc w:val="start"/>
      <w:pPr>
        <w:tabs>
          <w:tab w:val="num" w:pos="0"/>
        </w:tabs>
        <w:ind w:start="5542" w:hanging="360"/>
      </w:pPr>
      <w:rPr/>
    </w:lvl>
    <w:lvl w:ilvl="8">
      <w:start w:val="1"/>
      <w:numFmt w:val="lowerRoman"/>
      <w:lvlText w:val="%9."/>
      <w:lvlJc w:val="end"/>
      <w:pPr>
        <w:tabs>
          <w:tab w:val="num" w:pos="0"/>
        </w:tabs>
        <w:ind w:start="6262" w:hanging="180"/>
      </w:pPr>
      <w:rPr/>
    </w:lvl>
  </w:abstractNum>
  <w:abstractNum w:abstractNumId="25">
    <w:lvl w:ilvl="0">
      <w:start w:val="1"/>
      <w:numFmt w:val="decimal"/>
      <w:lvlText w:val="%1."/>
      <w:lvlJc w:val="start"/>
      <w:pPr>
        <w:tabs>
          <w:tab w:val="num" w:pos="0"/>
        </w:tabs>
        <w:ind w:start="502" w:hanging="360"/>
      </w:pPr>
      <w:rPr>
        <w:sz w:val="22"/>
        <w:i w:val="false"/>
        <w:b w:val="false"/>
        <w:szCs w:val="22"/>
        <w:rFonts w:ascii="Arial" w:hAnsi="Arial" w:cs="Arial"/>
      </w:rPr>
    </w:lvl>
    <w:lvl w:ilvl="1">
      <w:start w:val="1"/>
      <w:numFmt w:val="lowerLetter"/>
      <w:lvlText w:val="%2."/>
      <w:lvlJc w:val="start"/>
      <w:pPr>
        <w:tabs>
          <w:tab w:val="num" w:pos="0"/>
        </w:tabs>
        <w:ind w:start="1222" w:hanging="360"/>
      </w:pPr>
      <w:rPr/>
    </w:lvl>
    <w:lvl w:ilvl="2">
      <w:start w:val="1"/>
      <w:numFmt w:val="lowerRoman"/>
      <w:lvlText w:val="%3."/>
      <w:lvlJc w:val="end"/>
      <w:pPr>
        <w:tabs>
          <w:tab w:val="num" w:pos="0"/>
        </w:tabs>
        <w:ind w:start="1942" w:hanging="180"/>
      </w:pPr>
      <w:rPr/>
    </w:lvl>
    <w:lvl w:ilvl="3">
      <w:start w:val="1"/>
      <w:numFmt w:val="decimal"/>
      <w:lvlText w:val="%4."/>
      <w:lvlJc w:val="start"/>
      <w:pPr>
        <w:tabs>
          <w:tab w:val="num" w:pos="0"/>
        </w:tabs>
        <w:ind w:start="2662" w:hanging="360"/>
      </w:pPr>
      <w:rPr/>
    </w:lvl>
    <w:lvl w:ilvl="4">
      <w:start w:val="1"/>
      <w:numFmt w:val="lowerLetter"/>
      <w:lvlText w:val="%5."/>
      <w:lvlJc w:val="start"/>
      <w:pPr>
        <w:tabs>
          <w:tab w:val="num" w:pos="0"/>
        </w:tabs>
        <w:ind w:start="3382" w:hanging="360"/>
      </w:pPr>
      <w:rPr/>
    </w:lvl>
    <w:lvl w:ilvl="5">
      <w:start w:val="1"/>
      <w:numFmt w:val="lowerRoman"/>
      <w:lvlText w:val="%6."/>
      <w:lvlJc w:val="end"/>
      <w:pPr>
        <w:tabs>
          <w:tab w:val="num" w:pos="0"/>
        </w:tabs>
        <w:ind w:start="4102" w:hanging="180"/>
      </w:pPr>
      <w:rPr/>
    </w:lvl>
    <w:lvl w:ilvl="6">
      <w:start w:val="1"/>
      <w:numFmt w:val="decimal"/>
      <w:lvlText w:val="%7."/>
      <w:lvlJc w:val="start"/>
      <w:pPr>
        <w:tabs>
          <w:tab w:val="num" w:pos="0"/>
        </w:tabs>
        <w:ind w:start="4822" w:hanging="360"/>
      </w:pPr>
      <w:rPr/>
    </w:lvl>
    <w:lvl w:ilvl="7">
      <w:start w:val="1"/>
      <w:numFmt w:val="lowerLetter"/>
      <w:lvlText w:val="%8."/>
      <w:lvlJc w:val="start"/>
      <w:pPr>
        <w:tabs>
          <w:tab w:val="num" w:pos="0"/>
        </w:tabs>
        <w:ind w:start="5542" w:hanging="360"/>
      </w:pPr>
      <w:rPr/>
    </w:lvl>
    <w:lvl w:ilvl="8">
      <w:start w:val="1"/>
      <w:numFmt w:val="lowerRoman"/>
      <w:lvlText w:val="%9."/>
      <w:lvlJc w:val="end"/>
      <w:pPr>
        <w:tabs>
          <w:tab w:val="num" w:pos="0"/>
        </w:tabs>
        <w:ind w:start="6262" w:hanging="180"/>
      </w:pPr>
      <w:rPr/>
    </w:lvl>
  </w:abstractNum>
  <w:abstractNum w:abstractNumId="26">
    <w:lvl w:ilvl="0">
      <w:start w:val="1"/>
      <w:numFmt w:val="decimal"/>
      <w:lvlText w:val="%1."/>
      <w:lvlJc w:val="start"/>
      <w:pPr>
        <w:tabs>
          <w:tab w:val="num" w:pos="0"/>
        </w:tabs>
        <w:ind w:start="502" w:hanging="360"/>
      </w:pPr>
      <w:rPr>
        <w:sz w:val="22"/>
        <w:i w:val="false"/>
        <w:b w:val="false"/>
        <w:szCs w:val="22"/>
        <w:rFonts w:ascii="Arial" w:hAnsi="Arial" w:cs="Arial"/>
      </w:rPr>
    </w:lvl>
    <w:lvl w:ilvl="1">
      <w:start w:val="1"/>
      <w:numFmt w:val="lowerLetter"/>
      <w:lvlText w:val="%2."/>
      <w:lvlJc w:val="start"/>
      <w:pPr>
        <w:tabs>
          <w:tab w:val="num" w:pos="0"/>
        </w:tabs>
        <w:ind w:start="1222" w:hanging="360"/>
      </w:pPr>
      <w:rPr/>
    </w:lvl>
    <w:lvl w:ilvl="2">
      <w:start w:val="1"/>
      <w:numFmt w:val="lowerRoman"/>
      <w:lvlText w:val="%3."/>
      <w:lvlJc w:val="end"/>
      <w:pPr>
        <w:tabs>
          <w:tab w:val="num" w:pos="0"/>
        </w:tabs>
        <w:ind w:start="1942" w:hanging="180"/>
      </w:pPr>
      <w:rPr/>
    </w:lvl>
    <w:lvl w:ilvl="3">
      <w:start w:val="1"/>
      <w:numFmt w:val="decimal"/>
      <w:lvlText w:val="%4."/>
      <w:lvlJc w:val="start"/>
      <w:pPr>
        <w:tabs>
          <w:tab w:val="num" w:pos="0"/>
        </w:tabs>
        <w:ind w:start="2662" w:hanging="360"/>
      </w:pPr>
      <w:rPr/>
    </w:lvl>
    <w:lvl w:ilvl="4">
      <w:start w:val="1"/>
      <w:numFmt w:val="lowerLetter"/>
      <w:lvlText w:val="%5."/>
      <w:lvlJc w:val="start"/>
      <w:pPr>
        <w:tabs>
          <w:tab w:val="num" w:pos="0"/>
        </w:tabs>
        <w:ind w:start="3382" w:hanging="360"/>
      </w:pPr>
      <w:rPr/>
    </w:lvl>
    <w:lvl w:ilvl="5">
      <w:start w:val="1"/>
      <w:numFmt w:val="lowerRoman"/>
      <w:lvlText w:val="%6."/>
      <w:lvlJc w:val="end"/>
      <w:pPr>
        <w:tabs>
          <w:tab w:val="num" w:pos="0"/>
        </w:tabs>
        <w:ind w:start="4102" w:hanging="180"/>
      </w:pPr>
      <w:rPr/>
    </w:lvl>
    <w:lvl w:ilvl="6">
      <w:start w:val="1"/>
      <w:numFmt w:val="decimal"/>
      <w:lvlText w:val="%7."/>
      <w:lvlJc w:val="start"/>
      <w:pPr>
        <w:tabs>
          <w:tab w:val="num" w:pos="0"/>
        </w:tabs>
        <w:ind w:start="4822" w:hanging="360"/>
      </w:pPr>
      <w:rPr/>
    </w:lvl>
    <w:lvl w:ilvl="7">
      <w:start w:val="1"/>
      <w:numFmt w:val="lowerLetter"/>
      <w:lvlText w:val="%8."/>
      <w:lvlJc w:val="start"/>
      <w:pPr>
        <w:tabs>
          <w:tab w:val="num" w:pos="0"/>
        </w:tabs>
        <w:ind w:start="5542" w:hanging="360"/>
      </w:pPr>
      <w:rPr/>
    </w:lvl>
    <w:lvl w:ilvl="8">
      <w:start w:val="1"/>
      <w:numFmt w:val="lowerRoman"/>
      <w:lvlText w:val="%9."/>
      <w:lvlJc w:val="end"/>
      <w:pPr>
        <w:tabs>
          <w:tab w:val="num" w:pos="0"/>
        </w:tabs>
        <w:ind w:start="6262" w:hanging="180"/>
      </w:pPr>
      <w:rPr/>
    </w:lvl>
  </w:abstractNum>
  <w:abstractNum w:abstractNumId="27">
    <w:lvl w:ilvl="0">
      <w:start w:val="1"/>
      <w:numFmt w:val="decimal"/>
      <w:lvlText w:val="%1."/>
      <w:lvlJc w:val="start"/>
      <w:pPr>
        <w:tabs>
          <w:tab w:val="num" w:pos="0"/>
        </w:tabs>
        <w:ind w:start="502" w:hanging="360"/>
      </w:pPr>
      <w:rPr>
        <w:sz w:val="22"/>
        <w:i w:val="false"/>
        <w:b w:val="false"/>
        <w:szCs w:val="22"/>
        <w:rFonts w:ascii="Arial" w:hAnsi="Arial" w:cs="Arial"/>
      </w:rPr>
    </w:lvl>
    <w:lvl w:ilvl="1">
      <w:start w:val="1"/>
      <w:numFmt w:val="lowerLetter"/>
      <w:lvlText w:val="%2."/>
      <w:lvlJc w:val="start"/>
      <w:pPr>
        <w:tabs>
          <w:tab w:val="num" w:pos="0"/>
        </w:tabs>
        <w:ind w:start="1222" w:hanging="360"/>
      </w:pPr>
      <w:rPr/>
    </w:lvl>
    <w:lvl w:ilvl="2">
      <w:start w:val="1"/>
      <w:numFmt w:val="lowerRoman"/>
      <w:lvlText w:val="%3."/>
      <w:lvlJc w:val="end"/>
      <w:pPr>
        <w:tabs>
          <w:tab w:val="num" w:pos="0"/>
        </w:tabs>
        <w:ind w:start="1942" w:hanging="180"/>
      </w:pPr>
      <w:rPr/>
    </w:lvl>
    <w:lvl w:ilvl="3">
      <w:start w:val="1"/>
      <w:numFmt w:val="decimal"/>
      <w:lvlText w:val="%4."/>
      <w:lvlJc w:val="start"/>
      <w:pPr>
        <w:tabs>
          <w:tab w:val="num" w:pos="0"/>
        </w:tabs>
        <w:ind w:start="2662" w:hanging="360"/>
      </w:pPr>
      <w:rPr/>
    </w:lvl>
    <w:lvl w:ilvl="4">
      <w:start w:val="1"/>
      <w:numFmt w:val="lowerLetter"/>
      <w:lvlText w:val="%5."/>
      <w:lvlJc w:val="start"/>
      <w:pPr>
        <w:tabs>
          <w:tab w:val="num" w:pos="0"/>
        </w:tabs>
        <w:ind w:start="3382" w:hanging="360"/>
      </w:pPr>
      <w:rPr/>
    </w:lvl>
    <w:lvl w:ilvl="5">
      <w:start w:val="1"/>
      <w:numFmt w:val="lowerRoman"/>
      <w:lvlText w:val="%6."/>
      <w:lvlJc w:val="end"/>
      <w:pPr>
        <w:tabs>
          <w:tab w:val="num" w:pos="0"/>
        </w:tabs>
        <w:ind w:start="4102" w:hanging="180"/>
      </w:pPr>
      <w:rPr/>
    </w:lvl>
    <w:lvl w:ilvl="6">
      <w:start w:val="1"/>
      <w:numFmt w:val="decimal"/>
      <w:lvlText w:val="%7."/>
      <w:lvlJc w:val="start"/>
      <w:pPr>
        <w:tabs>
          <w:tab w:val="num" w:pos="0"/>
        </w:tabs>
        <w:ind w:start="4822" w:hanging="360"/>
      </w:pPr>
      <w:rPr/>
    </w:lvl>
    <w:lvl w:ilvl="7">
      <w:start w:val="1"/>
      <w:numFmt w:val="lowerLetter"/>
      <w:lvlText w:val="%8."/>
      <w:lvlJc w:val="start"/>
      <w:pPr>
        <w:tabs>
          <w:tab w:val="num" w:pos="0"/>
        </w:tabs>
        <w:ind w:start="5542" w:hanging="360"/>
      </w:pPr>
      <w:rPr/>
    </w:lvl>
    <w:lvl w:ilvl="8">
      <w:start w:val="1"/>
      <w:numFmt w:val="lowerRoman"/>
      <w:lvlText w:val="%9."/>
      <w:lvlJc w:val="end"/>
      <w:pPr>
        <w:tabs>
          <w:tab w:val="num" w:pos="0"/>
        </w:tabs>
        <w:ind w:start="6262" w:hanging="180"/>
      </w:pPr>
      <w:rPr/>
    </w:lvl>
  </w:abstractNum>
  <w:abstractNum w:abstractNumId="28">
    <w:lvl w:ilvl="0">
      <w:start w:val="1"/>
      <w:numFmt w:val="decimal"/>
      <w:lvlText w:val="%1."/>
      <w:lvlJc w:val="start"/>
      <w:pPr>
        <w:tabs>
          <w:tab w:val="num" w:pos="0"/>
        </w:tabs>
        <w:ind w:start="502" w:hanging="360"/>
      </w:pPr>
      <w:rPr>
        <w:sz w:val="22"/>
        <w:i w:val="false"/>
        <w:b w:val="false"/>
        <w:szCs w:val="22"/>
        <w:rFonts w:ascii="Arial" w:hAnsi="Arial" w:cs="Arial"/>
      </w:rPr>
    </w:lvl>
    <w:lvl w:ilvl="1">
      <w:start w:val="1"/>
      <w:numFmt w:val="lowerLetter"/>
      <w:lvlText w:val="%2."/>
      <w:lvlJc w:val="start"/>
      <w:pPr>
        <w:tabs>
          <w:tab w:val="num" w:pos="0"/>
        </w:tabs>
        <w:ind w:start="1222" w:hanging="360"/>
      </w:pPr>
      <w:rPr/>
    </w:lvl>
    <w:lvl w:ilvl="2">
      <w:start w:val="1"/>
      <w:numFmt w:val="lowerRoman"/>
      <w:lvlText w:val="%3."/>
      <w:lvlJc w:val="end"/>
      <w:pPr>
        <w:tabs>
          <w:tab w:val="num" w:pos="0"/>
        </w:tabs>
        <w:ind w:start="1942" w:hanging="180"/>
      </w:pPr>
      <w:rPr/>
    </w:lvl>
    <w:lvl w:ilvl="3">
      <w:start w:val="1"/>
      <w:numFmt w:val="decimal"/>
      <w:lvlText w:val="%4."/>
      <w:lvlJc w:val="start"/>
      <w:pPr>
        <w:tabs>
          <w:tab w:val="num" w:pos="0"/>
        </w:tabs>
        <w:ind w:start="2662" w:hanging="360"/>
      </w:pPr>
      <w:rPr/>
    </w:lvl>
    <w:lvl w:ilvl="4">
      <w:start w:val="1"/>
      <w:numFmt w:val="lowerLetter"/>
      <w:lvlText w:val="%5."/>
      <w:lvlJc w:val="start"/>
      <w:pPr>
        <w:tabs>
          <w:tab w:val="num" w:pos="0"/>
        </w:tabs>
        <w:ind w:start="3382" w:hanging="360"/>
      </w:pPr>
      <w:rPr/>
    </w:lvl>
    <w:lvl w:ilvl="5">
      <w:start w:val="1"/>
      <w:numFmt w:val="lowerRoman"/>
      <w:lvlText w:val="%6."/>
      <w:lvlJc w:val="end"/>
      <w:pPr>
        <w:tabs>
          <w:tab w:val="num" w:pos="0"/>
        </w:tabs>
        <w:ind w:start="4102" w:hanging="180"/>
      </w:pPr>
      <w:rPr/>
    </w:lvl>
    <w:lvl w:ilvl="6">
      <w:start w:val="1"/>
      <w:numFmt w:val="decimal"/>
      <w:lvlText w:val="%7."/>
      <w:lvlJc w:val="start"/>
      <w:pPr>
        <w:tabs>
          <w:tab w:val="num" w:pos="0"/>
        </w:tabs>
        <w:ind w:start="4822" w:hanging="360"/>
      </w:pPr>
      <w:rPr/>
    </w:lvl>
    <w:lvl w:ilvl="7">
      <w:start w:val="1"/>
      <w:numFmt w:val="lowerLetter"/>
      <w:lvlText w:val="%8."/>
      <w:lvlJc w:val="start"/>
      <w:pPr>
        <w:tabs>
          <w:tab w:val="num" w:pos="0"/>
        </w:tabs>
        <w:ind w:start="5542" w:hanging="360"/>
      </w:pPr>
      <w:rPr/>
    </w:lvl>
    <w:lvl w:ilvl="8">
      <w:start w:val="1"/>
      <w:numFmt w:val="lowerRoman"/>
      <w:lvlText w:val="%9."/>
      <w:lvlJc w:val="end"/>
      <w:pPr>
        <w:tabs>
          <w:tab w:val="num" w:pos="0"/>
        </w:tabs>
        <w:ind w:start="6262" w:hanging="180"/>
      </w:pPr>
      <w:rPr/>
    </w:lvl>
  </w:abstractNum>
  <w:abstractNum w:abstractNumId="29">
    <w:lvl w:ilvl="0">
      <w:start w:val="1"/>
      <w:numFmt w:val="decimal"/>
      <w:lvlText w:val="%1."/>
      <w:lvlJc w:val="start"/>
      <w:pPr>
        <w:tabs>
          <w:tab w:val="num" w:pos="0"/>
        </w:tabs>
        <w:ind w:start="502" w:hanging="360"/>
      </w:pPr>
      <w:rPr>
        <w:sz w:val="22"/>
        <w:i w:val="false"/>
        <w:b w:val="false"/>
        <w:szCs w:val="22"/>
        <w:rFonts w:ascii="Arial" w:hAnsi="Arial" w:cs="Arial"/>
      </w:rPr>
    </w:lvl>
    <w:lvl w:ilvl="1">
      <w:start w:val="1"/>
      <w:numFmt w:val="lowerLetter"/>
      <w:lvlText w:val="%2."/>
      <w:lvlJc w:val="start"/>
      <w:pPr>
        <w:tabs>
          <w:tab w:val="num" w:pos="0"/>
        </w:tabs>
        <w:ind w:start="1222" w:hanging="360"/>
      </w:pPr>
      <w:rPr/>
    </w:lvl>
    <w:lvl w:ilvl="2">
      <w:start w:val="1"/>
      <w:numFmt w:val="lowerRoman"/>
      <w:lvlText w:val="%3."/>
      <w:lvlJc w:val="end"/>
      <w:pPr>
        <w:tabs>
          <w:tab w:val="num" w:pos="0"/>
        </w:tabs>
        <w:ind w:start="1942" w:hanging="180"/>
      </w:pPr>
      <w:rPr/>
    </w:lvl>
    <w:lvl w:ilvl="3">
      <w:start w:val="1"/>
      <w:numFmt w:val="decimal"/>
      <w:lvlText w:val="%4."/>
      <w:lvlJc w:val="start"/>
      <w:pPr>
        <w:tabs>
          <w:tab w:val="num" w:pos="0"/>
        </w:tabs>
        <w:ind w:start="2662" w:hanging="360"/>
      </w:pPr>
      <w:rPr/>
    </w:lvl>
    <w:lvl w:ilvl="4">
      <w:start w:val="1"/>
      <w:numFmt w:val="lowerLetter"/>
      <w:lvlText w:val="%5."/>
      <w:lvlJc w:val="start"/>
      <w:pPr>
        <w:tabs>
          <w:tab w:val="num" w:pos="0"/>
        </w:tabs>
        <w:ind w:start="3382" w:hanging="360"/>
      </w:pPr>
      <w:rPr/>
    </w:lvl>
    <w:lvl w:ilvl="5">
      <w:start w:val="1"/>
      <w:numFmt w:val="lowerRoman"/>
      <w:lvlText w:val="%6."/>
      <w:lvlJc w:val="end"/>
      <w:pPr>
        <w:tabs>
          <w:tab w:val="num" w:pos="0"/>
        </w:tabs>
        <w:ind w:start="4102" w:hanging="180"/>
      </w:pPr>
      <w:rPr/>
    </w:lvl>
    <w:lvl w:ilvl="6">
      <w:start w:val="1"/>
      <w:numFmt w:val="decimal"/>
      <w:lvlText w:val="%7."/>
      <w:lvlJc w:val="start"/>
      <w:pPr>
        <w:tabs>
          <w:tab w:val="num" w:pos="0"/>
        </w:tabs>
        <w:ind w:start="4822" w:hanging="360"/>
      </w:pPr>
      <w:rPr/>
    </w:lvl>
    <w:lvl w:ilvl="7">
      <w:start w:val="1"/>
      <w:numFmt w:val="lowerLetter"/>
      <w:lvlText w:val="%8."/>
      <w:lvlJc w:val="start"/>
      <w:pPr>
        <w:tabs>
          <w:tab w:val="num" w:pos="0"/>
        </w:tabs>
        <w:ind w:start="5542" w:hanging="360"/>
      </w:pPr>
      <w:rPr/>
    </w:lvl>
    <w:lvl w:ilvl="8">
      <w:start w:val="1"/>
      <w:numFmt w:val="lowerRoman"/>
      <w:lvlText w:val="%9."/>
      <w:lvlJc w:val="end"/>
      <w:pPr>
        <w:tabs>
          <w:tab w:val="num" w:pos="0"/>
        </w:tabs>
        <w:ind w:start="6262" w:hanging="180"/>
      </w:pPr>
      <w:rPr/>
    </w:lvl>
  </w:abstractNum>
  <w:abstractNum w:abstractNumId="30">
    <w:lvl w:ilvl="0">
      <w:start w:val="1"/>
      <w:numFmt w:val="decimal"/>
      <w:lvlText w:val="%1."/>
      <w:lvlJc w:val="start"/>
      <w:pPr>
        <w:tabs>
          <w:tab w:val="num" w:pos="0"/>
        </w:tabs>
        <w:ind w:start="502" w:hanging="360"/>
      </w:pPr>
      <w:rPr>
        <w:sz w:val="22"/>
        <w:i w:val="false"/>
        <w:b w:val="false"/>
        <w:szCs w:val="22"/>
        <w:rFonts w:ascii="Arial" w:hAnsi="Arial" w:cs="Arial"/>
      </w:rPr>
    </w:lvl>
    <w:lvl w:ilvl="1">
      <w:start w:val="1"/>
      <w:numFmt w:val="lowerLetter"/>
      <w:lvlText w:val="%2."/>
      <w:lvlJc w:val="start"/>
      <w:pPr>
        <w:tabs>
          <w:tab w:val="num" w:pos="0"/>
        </w:tabs>
        <w:ind w:start="1222" w:hanging="360"/>
      </w:pPr>
      <w:rPr/>
    </w:lvl>
    <w:lvl w:ilvl="2">
      <w:start w:val="1"/>
      <w:numFmt w:val="lowerRoman"/>
      <w:lvlText w:val="%3."/>
      <w:lvlJc w:val="end"/>
      <w:pPr>
        <w:tabs>
          <w:tab w:val="num" w:pos="0"/>
        </w:tabs>
        <w:ind w:start="1942" w:hanging="180"/>
      </w:pPr>
      <w:rPr/>
    </w:lvl>
    <w:lvl w:ilvl="3">
      <w:start w:val="1"/>
      <w:numFmt w:val="decimal"/>
      <w:lvlText w:val="%4."/>
      <w:lvlJc w:val="start"/>
      <w:pPr>
        <w:tabs>
          <w:tab w:val="num" w:pos="0"/>
        </w:tabs>
        <w:ind w:start="2662" w:hanging="360"/>
      </w:pPr>
      <w:rPr/>
    </w:lvl>
    <w:lvl w:ilvl="4">
      <w:start w:val="1"/>
      <w:numFmt w:val="lowerLetter"/>
      <w:lvlText w:val="%5."/>
      <w:lvlJc w:val="start"/>
      <w:pPr>
        <w:tabs>
          <w:tab w:val="num" w:pos="0"/>
        </w:tabs>
        <w:ind w:start="3382" w:hanging="360"/>
      </w:pPr>
      <w:rPr/>
    </w:lvl>
    <w:lvl w:ilvl="5">
      <w:start w:val="1"/>
      <w:numFmt w:val="lowerRoman"/>
      <w:lvlText w:val="%6."/>
      <w:lvlJc w:val="end"/>
      <w:pPr>
        <w:tabs>
          <w:tab w:val="num" w:pos="0"/>
        </w:tabs>
        <w:ind w:start="4102" w:hanging="180"/>
      </w:pPr>
      <w:rPr/>
    </w:lvl>
    <w:lvl w:ilvl="6">
      <w:start w:val="1"/>
      <w:numFmt w:val="decimal"/>
      <w:lvlText w:val="%7."/>
      <w:lvlJc w:val="start"/>
      <w:pPr>
        <w:tabs>
          <w:tab w:val="num" w:pos="0"/>
        </w:tabs>
        <w:ind w:start="4822" w:hanging="360"/>
      </w:pPr>
      <w:rPr/>
    </w:lvl>
    <w:lvl w:ilvl="7">
      <w:start w:val="1"/>
      <w:numFmt w:val="lowerLetter"/>
      <w:lvlText w:val="%8."/>
      <w:lvlJc w:val="start"/>
      <w:pPr>
        <w:tabs>
          <w:tab w:val="num" w:pos="0"/>
        </w:tabs>
        <w:ind w:start="5542" w:hanging="360"/>
      </w:pPr>
      <w:rPr/>
    </w:lvl>
    <w:lvl w:ilvl="8">
      <w:start w:val="1"/>
      <w:numFmt w:val="lowerRoman"/>
      <w:lvlText w:val="%9."/>
      <w:lvlJc w:val="end"/>
      <w:pPr>
        <w:tabs>
          <w:tab w:val="num" w:pos="0"/>
        </w:tabs>
        <w:ind w:start="6262" w:hanging="180"/>
      </w:pPr>
      <w:rPr/>
    </w:lvl>
  </w:abstractNum>
  <w:abstractNum w:abstractNumId="31">
    <w:lvl w:ilvl="0">
      <w:start w:val="1"/>
      <w:numFmt w:val="decimal"/>
      <w:lvlText w:val="%1)"/>
      <w:lvlJc w:val="start"/>
      <w:pPr>
        <w:tabs>
          <w:tab w:val="num" w:pos="0"/>
        </w:tabs>
        <w:ind w:start="644" w:hanging="360"/>
      </w:pPr>
      <w:rPr>
        <w:sz w:val="22"/>
        <w:szCs w:val="22"/>
        <w:rFonts w:ascii="Arial" w:hAnsi="Arial" w:cs="Arial"/>
        <w:color w:val="000000"/>
      </w:rPr>
    </w:lvl>
    <w:lvl w:ilvl="1">
      <w:start w:val="1"/>
      <w:numFmt w:val="lowerLetter"/>
      <w:lvlText w:val="%2)"/>
      <w:lvlJc w:val="start"/>
      <w:pPr>
        <w:tabs>
          <w:tab w:val="num" w:pos="0"/>
        </w:tabs>
        <w:ind w:start="1440" w:hanging="360"/>
      </w:pPr>
      <w:rPr>
        <w:rFonts w:cs="Arial"/>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rFonts w:cs="Arial"/>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2">
    <w:lvl w:ilvl="0">
      <w:start w:val="1"/>
      <w:numFmt w:val="decimal"/>
      <w:lvlText w:val="%1)"/>
      <w:lvlJc w:val="start"/>
      <w:pPr>
        <w:tabs>
          <w:tab w:val="num" w:pos="0"/>
        </w:tabs>
        <w:ind w:start="644" w:hanging="360"/>
      </w:pPr>
      <w:rPr>
        <w:sz w:val="22"/>
        <w:szCs w:val="22"/>
        <w:rFonts w:ascii="Arial" w:hAnsi="Arial" w:cs="Arial"/>
        <w:color w:val="000000"/>
      </w:rPr>
    </w:lvl>
    <w:lvl w:ilvl="1">
      <w:start w:val="1"/>
      <w:numFmt w:val="lowerLetter"/>
      <w:lvlText w:val="%2)"/>
      <w:lvlJc w:val="start"/>
      <w:pPr>
        <w:tabs>
          <w:tab w:val="num" w:pos="0"/>
        </w:tabs>
        <w:ind w:start="1440" w:hanging="360"/>
      </w:pPr>
      <w:rPr>
        <w:rFonts w:cs="Arial"/>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rFonts w:cs="Arial"/>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3">
    <w:lvl w:ilvl="0">
      <w:start w:val="1"/>
      <w:numFmt w:val="decimal"/>
      <w:lvlText w:val="%1)"/>
      <w:lvlJc w:val="start"/>
      <w:pPr>
        <w:tabs>
          <w:tab w:val="num" w:pos="0"/>
        </w:tabs>
        <w:ind w:start="644" w:hanging="360"/>
      </w:pPr>
      <w:rPr>
        <w:sz w:val="22"/>
        <w:szCs w:val="22"/>
        <w:rFonts w:ascii="Arial" w:hAnsi="Arial" w:cs="Arial"/>
        <w:color w:val="000000"/>
      </w:rPr>
    </w:lvl>
    <w:lvl w:ilvl="1">
      <w:start w:val="1"/>
      <w:numFmt w:val="lowerLetter"/>
      <w:lvlText w:val="%2)"/>
      <w:lvlJc w:val="start"/>
      <w:pPr>
        <w:tabs>
          <w:tab w:val="num" w:pos="0"/>
        </w:tabs>
        <w:ind w:start="1440" w:hanging="360"/>
      </w:pPr>
      <w:rPr>
        <w:rFonts w:cs="Arial"/>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rFonts w:cs="Arial"/>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4">
    <w:lvl w:ilvl="0">
      <w:start w:val="1"/>
      <w:numFmt w:val="decimal"/>
      <w:lvlText w:val="%1)"/>
      <w:lvlJc w:val="start"/>
      <w:pPr>
        <w:tabs>
          <w:tab w:val="num" w:pos="0"/>
        </w:tabs>
        <w:ind w:start="644" w:hanging="360"/>
      </w:pPr>
      <w:rPr>
        <w:sz w:val="22"/>
        <w:szCs w:val="22"/>
        <w:rFonts w:ascii="Arial" w:hAnsi="Arial" w:cs="Arial"/>
        <w:color w:val="000000"/>
      </w:rPr>
    </w:lvl>
    <w:lvl w:ilvl="1">
      <w:start w:val="1"/>
      <w:numFmt w:val="lowerLetter"/>
      <w:lvlText w:val="%2)"/>
      <w:lvlJc w:val="start"/>
      <w:pPr>
        <w:tabs>
          <w:tab w:val="num" w:pos="0"/>
        </w:tabs>
        <w:ind w:start="1440" w:hanging="360"/>
      </w:pPr>
      <w:rPr>
        <w:rFonts w:cs="Arial"/>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rFonts w:cs="Arial"/>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5">
    <w:lvl w:ilvl="0">
      <w:start w:val="1"/>
      <w:numFmt w:val="decimal"/>
      <w:lvlText w:val="%1."/>
      <w:lvlJc w:val="start"/>
      <w:pPr>
        <w:tabs>
          <w:tab w:val="num" w:pos="0"/>
        </w:tabs>
        <w:ind w:start="360" w:hanging="360"/>
      </w:pPr>
      <w:rPr>
        <w:rFonts w:cs="Arial"/>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rFonts w:cs="Arial"/>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36">
    <w:lvl w:ilvl="0">
      <w:start w:val="1"/>
      <w:numFmt w:val="decimal"/>
      <w:lvlText w:val="%1)"/>
      <w:lvlJc w:val="start"/>
      <w:pPr>
        <w:tabs>
          <w:tab w:val="num" w:pos="0"/>
        </w:tabs>
        <w:ind w:start="644" w:hanging="360"/>
      </w:pPr>
      <w:rPr>
        <w:sz w:val="22"/>
        <w:szCs w:val="22"/>
        <w:bCs/>
        <w:rFonts w:ascii="Arial" w:hAnsi="Arial" w:eastAsia="Times New Roman" w:cs="Arial"/>
        <w:color w:val="000000"/>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7">
    <w:lvl w:ilvl="0">
      <w:start w:val="1"/>
      <w:numFmt w:val="decimal"/>
      <w:lvlText w:val="%1)"/>
      <w:lvlJc w:val="start"/>
      <w:pPr>
        <w:tabs>
          <w:tab w:val="num" w:pos="0"/>
        </w:tabs>
        <w:ind w:start="644" w:hanging="360"/>
      </w:pPr>
      <w:rPr>
        <w:sz w:val="22"/>
        <w:szCs w:val="22"/>
        <w:bCs/>
        <w:rFonts w:ascii="Arial" w:hAnsi="Arial" w:eastAsia="Times New Roman" w:cs="Arial"/>
        <w:color w:val="000000"/>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8">
    <w:lvl w:ilvl="0">
      <w:start w:val="1"/>
      <w:numFmt w:val="decimal"/>
      <w:lvlText w:val="%1."/>
      <w:lvlJc w:val="start"/>
      <w:pPr>
        <w:tabs>
          <w:tab w:val="num" w:pos="0"/>
        </w:tabs>
        <w:ind w:start="360" w:hanging="360"/>
      </w:pPr>
      <w:rPr>
        <w:rFonts w:cs="Arial"/>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rFonts w:cs="Arial"/>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39">
    <w:lvl w:ilvl="0">
      <w:start w:val="1"/>
      <w:numFmt w:val="decimal"/>
      <w:lvlText w:val="%1."/>
      <w:lvlJc w:val="start"/>
      <w:pPr>
        <w:tabs>
          <w:tab w:val="num" w:pos="0"/>
        </w:tabs>
        <w:ind w:start="360" w:hanging="360"/>
      </w:pPr>
      <w:rPr>
        <w:rFonts w:cs="Arial"/>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rFonts w:cs="Arial"/>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40">
    <w:lvl w:ilvl="0">
      <w:start w:val="1"/>
      <w:numFmt w:val="decimal"/>
      <w:lvlText w:val="%1)"/>
      <w:lvlJc w:val="start"/>
      <w:pPr>
        <w:tabs>
          <w:tab w:val="num" w:pos="0"/>
        </w:tabs>
        <w:ind w:start="720" w:hanging="360"/>
      </w:pPr>
      <w:rPr>
        <w:sz w:val="24"/>
        <w:szCs w:val="24"/>
        <w:rFonts w:ascii="Symbol" w:hAnsi="Symbol" w:cs="Symbol"/>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41">
    <w:lvl w:ilvl="0">
      <w:start w:val="1"/>
      <w:numFmt w:val="decimal"/>
      <w:lvlText w:val="%1."/>
      <w:lvlJc w:val="start"/>
      <w:pPr>
        <w:tabs>
          <w:tab w:val="num" w:pos="0"/>
        </w:tabs>
        <w:ind w:start="360" w:hanging="360"/>
      </w:pPr>
      <w:rPr>
        <w:rFonts w:cs="Arial"/>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rFonts w:cs="Arial"/>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42">
    <w:lvl w:ilvl="0">
      <w:start w:val="1"/>
      <w:numFmt w:val="decimal"/>
      <w:lvlText w:val="%1."/>
      <w:lvlJc w:val="start"/>
      <w:pPr>
        <w:tabs>
          <w:tab w:val="num" w:pos="0"/>
        </w:tabs>
        <w:ind w:start="360" w:hanging="360"/>
      </w:pPr>
      <w:rPr>
        <w:rFonts w:cs="Arial"/>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rFonts w:cs="Arial"/>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43">
    <w:lvl w:ilvl="0">
      <w:start w:val="1"/>
      <w:numFmt w:val="decimal"/>
      <w:lvlText w:val="%1."/>
      <w:lvlJc w:val="start"/>
      <w:pPr>
        <w:tabs>
          <w:tab w:val="num" w:pos="0"/>
        </w:tabs>
        <w:ind w:start="360" w:hanging="360"/>
      </w:pPr>
      <w:rPr>
        <w:rFonts w:cs="Arial"/>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rFonts w:cs="Arial"/>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44">
    <w:lvl w:ilvl="0">
      <w:start w:val="1"/>
      <w:numFmt w:val="decimal"/>
      <w:lvlText w:val="%1."/>
      <w:lvlJc w:val="start"/>
      <w:pPr>
        <w:tabs>
          <w:tab w:val="num" w:pos="0"/>
        </w:tabs>
        <w:ind w:start="360" w:hanging="360"/>
      </w:pPr>
      <w:rPr>
        <w:rFonts w:cs="Arial"/>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rFonts w:cs="Arial"/>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45">
    <w:lvl w:ilvl="0">
      <w:start w:val="1"/>
      <w:numFmt w:val="decimal"/>
      <w:lvlText w:val="%1."/>
      <w:lvlJc w:val="start"/>
      <w:pPr>
        <w:tabs>
          <w:tab w:val="num" w:pos="0"/>
        </w:tabs>
        <w:ind w:start="360" w:hanging="360"/>
      </w:pPr>
      <w:rPr>
        <w:rFonts w:cs="Arial"/>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rFonts w:cs="Arial"/>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46">
    <w:lvl w:ilvl="0">
      <w:start w:val="1"/>
      <w:numFmt w:val="decimal"/>
      <w:lvlText w:val="%1."/>
      <w:lvlJc w:val="start"/>
      <w:pPr>
        <w:tabs>
          <w:tab w:val="num" w:pos="0"/>
        </w:tabs>
        <w:ind w:start="0" w:hanging="0"/>
      </w:pPr>
      <w:rPr>
        <w:sz w:val="22"/>
        <w:rFonts w:ascii="Times New Roman" w:hAnsi="Times New Roman" w:cs="Times New Roman"/>
      </w:rPr>
    </w:lvl>
    <w:lvl w:ilvl="1">
      <w:start w:val="1"/>
      <w:numFmt w:val="lowerLetter"/>
      <w:lvlText w:val="%2."/>
      <w:lvlJc w:val="start"/>
      <w:pPr>
        <w:tabs>
          <w:tab w:val="num" w:pos="0"/>
        </w:tabs>
        <w:ind w:start="0" w:hanging="0"/>
      </w:pPr>
      <w:rPr>
        <w:rFonts w:cs="Times New Roman"/>
      </w:rPr>
    </w:lvl>
    <w:lvl w:ilvl="2">
      <w:start w:val="1"/>
      <w:numFmt w:val="lowerRoman"/>
      <w:lvlText w:val="%3."/>
      <w:lvlJc w:val="end"/>
      <w:pPr>
        <w:tabs>
          <w:tab w:val="num" w:pos="0"/>
        </w:tabs>
        <w:ind w:start="0" w:hanging="0"/>
      </w:pPr>
      <w:rPr>
        <w:rFonts w:cs="Times New Roman"/>
      </w:rPr>
    </w:lvl>
    <w:lvl w:ilvl="3">
      <w:start w:val="1"/>
      <w:numFmt w:val="decimal"/>
      <w:lvlText w:val="%4."/>
      <w:lvlJc w:val="start"/>
      <w:pPr>
        <w:tabs>
          <w:tab w:val="num" w:pos="0"/>
        </w:tabs>
        <w:ind w:start="0" w:hanging="0"/>
      </w:pPr>
      <w:rPr>
        <w:rFonts w:cs="Times New Roman"/>
      </w:rPr>
    </w:lvl>
    <w:lvl w:ilvl="4">
      <w:start w:val="1"/>
      <w:numFmt w:val="lowerLetter"/>
      <w:lvlText w:val="%5."/>
      <w:lvlJc w:val="start"/>
      <w:pPr>
        <w:tabs>
          <w:tab w:val="num" w:pos="0"/>
        </w:tabs>
        <w:ind w:start="0" w:hanging="0"/>
      </w:pPr>
      <w:rPr>
        <w:rFonts w:cs="Times New Roman"/>
      </w:rPr>
    </w:lvl>
    <w:lvl w:ilvl="5">
      <w:start w:val="1"/>
      <w:numFmt w:val="lowerRoman"/>
      <w:lvlText w:val="%6."/>
      <w:lvlJc w:val="end"/>
      <w:pPr>
        <w:tabs>
          <w:tab w:val="num" w:pos="0"/>
        </w:tabs>
        <w:ind w:start="0" w:hanging="0"/>
      </w:pPr>
      <w:rPr>
        <w:rFonts w:cs="Times New Roman"/>
      </w:rPr>
    </w:lvl>
    <w:lvl w:ilvl="6">
      <w:start w:val="1"/>
      <w:numFmt w:val="decimal"/>
      <w:lvlText w:val="%7."/>
      <w:lvlJc w:val="start"/>
      <w:pPr>
        <w:tabs>
          <w:tab w:val="num" w:pos="0"/>
        </w:tabs>
        <w:ind w:start="0" w:hanging="0"/>
      </w:pPr>
      <w:rPr>
        <w:rFonts w:cs="Times New Roman"/>
      </w:rPr>
    </w:lvl>
    <w:lvl w:ilvl="7">
      <w:start w:val="1"/>
      <w:numFmt w:val="lowerLetter"/>
      <w:lvlText w:val="%8."/>
      <w:lvlJc w:val="start"/>
      <w:pPr>
        <w:tabs>
          <w:tab w:val="num" w:pos="0"/>
        </w:tabs>
        <w:ind w:start="0" w:hanging="0"/>
      </w:pPr>
      <w:rPr>
        <w:rFonts w:cs="Times New Roman"/>
      </w:rPr>
    </w:lvl>
    <w:lvl w:ilvl="8">
      <w:start w:val="1"/>
      <w:numFmt w:val="lowerRoman"/>
      <w:lvlText w:val="%9."/>
      <w:lvlJc w:val="end"/>
      <w:pPr>
        <w:tabs>
          <w:tab w:val="num" w:pos="0"/>
        </w:tabs>
        <w:ind w:start="0" w:hanging="0"/>
      </w:pPr>
      <w:rPr>
        <w:rFonts w:cs="Times New Roman"/>
      </w:rPr>
    </w:lvl>
  </w:abstractNum>
  <w:abstractNum w:abstractNumId="47">
    <w:lvl w:ilvl="0">
      <w:start w:val="1"/>
      <w:numFmt w:val="decimal"/>
      <w:lvlText w:val="%1."/>
      <w:lvlJc w:val="start"/>
      <w:pPr>
        <w:tabs>
          <w:tab w:val="num" w:pos="0"/>
        </w:tabs>
        <w:ind w:start="1712" w:hanging="360"/>
      </w:pPr>
      <w:rPr>
        <w:sz w:val="24"/>
        <w:szCs w:val="24"/>
        <w:rFonts w:ascii="Symbol" w:hAnsi="Symbol" w:cs="Symbol"/>
      </w:rPr>
    </w:lvl>
    <w:lvl w:ilvl="1">
      <w:start w:val="1"/>
      <w:numFmt w:val="decimal"/>
      <w:lvlText w:val="%2)"/>
      <w:lvlJc w:val="start"/>
      <w:pPr>
        <w:tabs>
          <w:tab w:val="num" w:pos="0"/>
        </w:tabs>
        <w:ind w:start="2432" w:hanging="360"/>
      </w:pPr>
      <w:rPr>
        <w:rFonts w:ascii="Arial" w:hAnsi="Arial" w:eastAsia="Arial" w:cs="Arial" w:asciiTheme="minorHAnsi" w:cstheme="minorHAnsi" w:eastAsiaTheme="minorHAnsi" w:hAnsiTheme="minorHAnsi"/>
      </w:rPr>
    </w:lvl>
    <w:lvl w:ilvl="2">
      <w:start w:val="1"/>
      <w:numFmt w:val="lowerRoman"/>
      <w:lvlText w:val="%3."/>
      <w:lvlJc w:val="end"/>
      <w:pPr>
        <w:tabs>
          <w:tab w:val="num" w:pos="0"/>
        </w:tabs>
        <w:ind w:start="3152" w:hanging="180"/>
      </w:pPr>
      <w:rPr/>
    </w:lvl>
    <w:lvl w:ilvl="3">
      <w:start w:val="1"/>
      <w:numFmt w:val="decimal"/>
      <w:lvlText w:val="%4."/>
      <w:lvlJc w:val="start"/>
      <w:pPr>
        <w:tabs>
          <w:tab w:val="num" w:pos="0"/>
        </w:tabs>
        <w:ind w:start="3872" w:hanging="360"/>
      </w:pPr>
      <w:rPr/>
    </w:lvl>
    <w:lvl w:ilvl="4">
      <w:start w:val="1"/>
      <w:numFmt w:val="lowerLetter"/>
      <w:lvlText w:val="%5."/>
      <w:lvlJc w:val="start"/>
      <w:pPr>
        <w:tabs>
          <w:tab w:val="num" w:pos="0"/>
        </w:tabs>
        <w:ind w:start="4592" w:hanging="360"/>
      </w:pPr>
      <w:rPr/>
    </w:lvl>
    <w:lvl w:ilvl="5">
      <w:start w:val="1"/>
      <w:numFmt w:val="lowerRoman"/>
      <w:lvlText w:val="%6."/>
      <w:lvlJc w:val="end"/>
      <w:pPr>
        <w:tabs>
          <w:tab w:val="num" w:pos="0"/>
        </w:tabs>
        <w:ind w:start="5312" w:hanging="180"/>
      </w:pPr>
      <w:rPr/>
    </w:lvl>
    <w:lvl w:ilvl="6">
      <w:start w:val="1"/>
      <w:numFmt w:val="decimal"/>
      <w:lvlText w:val="%7."/>
      <w:lvlJc w:val="start"/>
      <w:pPr>
        <w:tabs>
          <w:tab w:val="num" w:pos="0"/>
        </w:tabs>
        <w:ind w:start="6032" w:hanging="360"/>
      </w:pPr>
      <w:rPr/>
    </w:lvl>
    <w:lvl w:ilvl="7">
      <w:start w:val="1"/>
      <w:numFmt w:val="lowerLetter"/>
      <w:lvlText w:val="%8."/>
      <w:lvlJc w:val="start"/>
      <w:pPr>
        <w:tabs>
          <w:tab w:val="num" w:pos="0"/>
        </w:tabs>
        <w:ind w:start="6752" w:hanging="360"/>
      </w:pPr>
      <w:rPr/>
    </w:lvl>
    <w:lvl w:ilvl="8">
      <w:start w:val="1"/>
      <w:numFmt w:val="lowerRoman"/>
      <w:lvlText w:val="%9."/>
      <w:lvlJc w:val="end"/>
      <w:pPr>
        <w:tabs>
          <w:tab w:val="num" w:pos="0"/>
        </w:tabs>
        <w:ind w:start="7472" w:hanging="180"/>
      </w:pPr>
      <w:rPr/>
    </w:lvl>
  </w:abstractNum>
  <w:abstractNum w:abstractNumId="48">
    <w:lvl w:ilvl="0">
      <w:start w:val="1"/>
      <w:numFmt w:val="decimal"/>
      <w:lvlText w:val="%1."/>
      <w:lvlJc w:val="start"/>
      <w:pPr>
        <w:tabs>
          <w:tab w:val="num" w:pos="0"/>
        </w:tabs>
        <w:ind w:start="1712" w:hanging="360"/>
      </w:pPr>
      <w:rPr>
        <w:sz w:val="24"/>
        <w:szCs w:val="24"/>
        <w:rFonts w:ascii="Symbol" w:hAnsi="Symbol" w:cs="Symbol"/>
      </w:rPr>
    </w:lvl>
    <w:lvl w:ilvl="1">
      <w:start w:val="1"/>
      <w:numFmt w:val="decimal"/>
      <w:lvlText w:val="%2)"/>
      <w:lvlJc w:val="start"/>
      <w:pPr>
        <w:tabs>
          <w:tab w:val="num" w:pos="0"/>
        </w:tabs>
        <w:ind w:start="2432" w:hanging="360"/>
      </w:pPr>
      <w:rPr>
        <w:rFonts w:ascii="Arial" w:hAnsi="Arial" w:eastAsia="Arial" w:cs="Arial" w:asciiTheme="minorHAnsi" w:cstheme="minorHAnsi" w:eastAsiaTheme="minorHAnsi" w:hAnsiTheme="minorHAnsi"/>
      </w:rPr>
    </w:lvl>
    <w:lvl w:ilvl="2">
      <w:start w:val="1"/>
      <w:numFmt w:val="lowerRoman"/>
      <w:lvlText w:val="%3."/>
      <w:lvlJc w:val="end"/>
      <w:pPr>
        <w:tabs>
          <w:tab w:val="num" w:pos="0"/>
        </w:tabs>
        <w:ind w:start="3152" w:hanging="180"/>
      </w:pPr>
      <w:rPr/>
    </w:lvl>
    <w:lvl w:ilvl="3">
      <w:start w:val="1"/>
      <w:numFmt w:val="decimal"/>
      <w:lvlText w:val="%4."/>
      <w:lvlJc w:val="start"/>
      <w:pPr>
        <w:tabs>
          <w:tab w:val="num" w:pos="0"/>
        </w:tabs>
        <w:ind w:start="3872" w:hanging="360"/>
      </w:pPr>
      <w:rPr/>
    </w:lvl>
    <w:lvl w:ilvl="4">
      <w:start w:val="1"/>
      <w:numFmt w:val="lowerLetter"/>
      <w:lvlText w:val="%5."/>
      <w:lvlJc w:val="start"/>
      <w:pPr>
        <w:tabs>
          <w:tab w:val="num" w:pos="0"/>
        </w:tabs>
        <w:ind w:start="4592" w:hanging="360"/>
      </w:pPr>
      <w:rPr/>
    </w:lvl>
    <w:lvl w:ilvl="5">
      <w:start w:val="1"/>
      <w:numFmt w:val="lowerRoman"/>
      <w:lvlText w:val="%6."/>
      <w:lvlJc w:val="end"/>
      <w:pPr>
        <w:tabs>
          <w:tab w:val="num" w:pos="0"/>
        </w:tabs>
        <w:ind w:start="5312" w:hanging="180"/>
      </w:pPr>
      <w:rPr/>
    </w:lvl>
    <w:lvl w:ilvl="6">
      <w:start w:val="1"/>
      <w:numFmt w:val="decimal"/>
      <w:lvlText w:val="%7."/>
      <w:lvlJc w:val="start"/>
      <w:pPr>
        <w:tabs>
          <w:tab w:val="num" w:pos="0"/>
        </w:tabs>
        <w:ind w:start="6032" w:hanging="360"/>
      </w:pPr>
      <w:rPr/>
    </w:lvl>
    <w:lvl w:ilvl="7">
      <w:start w:val="1"/>
      <w:numFmt w:val="lowerLetter"/>
      <w:lvlText w:val="%8."/>
      <w:lvlJc w:val="start"/>
      <w:pPr>
        <w:tabs>
          <w:tab w:val="num" w:pos="0"/>
        </w:tabs>
        <w:ind w:start="6752" w:hanging="360"/>
      </w:pPr>
      <w:rPr/>
    </w:lvl>
    <w:lvl w:ilvl="8">
      <w:start w:val="1"/>
      <w:numFmt w:val="lowerRoman"/>
      <w:lvlText w:val="%9."/>
      <w:lvlJc w:val="end"/>
      <w:pPr>
        <w:tabs>
          <w:tab w:val="num" w:pos="0"/>
        </w:tabs>
        <w:ind w:start="7472" w:hanging="180"/>
      </w:pPr>
      <w:rPr/>
    </w:lvl>
  </w:abstractNum>
  <w:abstractNum w:abstractNumId="49">
    <w:lvl w:ilvl="0">
      <w:start w:val="1"/>
      <w:numFmt w:val="decimal"/>
      <w:lvlText w:val="%1."/>
      <w:lvlJc w:val="start"/>
      <w:pPr>
        <w:tabs>
          <w:tab w:val="num" w:pos="0"/>
        </w:tabs>
        <w:ind w:start="1712" w:hanging="360"/>
      </w:pPr>
      <w:rPr>
        <w:sz w:val="24"/>
        <w:szCs w:val="24"/>
        <w:rFonts w:ascii="Symbol" w:hAnsi="Symbol" w:cs="Symbol"/>
      </w:rPr>
    </w:lvl>
    <w:lvl w:ilvl="1">
      <w:start w:val="1"/>
      <w:numFmt w:val="decimal"/>
      <w:lvlText w:val="%2)"/>
      <w:lvlJc w:val="start"/>
      <w:pPr>
        <w:tabs>
          <w:tab w:val="num" w:pos="0"/>
        </w:tabs>
        <w:ind w:start="2432" w:hanging="360"/>
      </w:pPr>
      <w:rPr>
        <w:rFonts w:ascii="Arial" w:hAnsi="Arial" w:eastAsia="Arial" w:cs="Arial" w:asciiTheme="minorHAnsi" w:cstheme="minorHAnsi" w:eastAsiaTheme="minorHAnsi" w:hAnsiTheme="minorHAnsi"/>
      </w:rPr>
    </w:lvl>
    <w:lvl w:ilvl="2">
      <w:start w:val="1"/>
      <w:numFmt w:val="lowerRoman"/>
      <w:lvlText w:val="%3."/>
      <w:lvlJc w:val="end"/>
      <w:pPr>
        <w:tabs>
          <w:tab w:val="num" w:pos="0"/>
        </w:tabs>
        <w:ind w:start="3152" w:hanging="180"/>
      </w:pPr>
      <w:rPr/>
    </w:lvl>
    <w:lvl w:ilvl="3">
      <w:start w:val="1"/>
      <w:numFmt w:val="decimal"/>
      <w:lvlText w:val="%4."/>
      <w:lvlJc w:val="start"/>
      <w:pPr>
        <w:tabs>
          <w:tab w:val="num" w:pos="0"/>
        </w:tabs>
        <w:ind w:start="3872" w:hanging="360"/>
      </w:pPr>
      <w:rPr/>
    </w:lvl>
    <w:lvl w:ilvl="4">
      <w:start w:val="1"/>
      <w:numFmt w:val="lowerLetter"/>
      <w:lvlText w:val="%5."/>
      <w:lvlJc w:val="start"/>
      <w:pPr>
        <w:tabs>
          <w:tab w:val="num" w:pos="0"/>
        </w:tabs>
        <w:ind w:start="4592" w:hanging="360"/>
      </w:pPr>
      <w:rPr/>
    </w:lvl>
    <w:lvl w:ilvl="5">
      <w:start w:val="1"/>
      <w:numFmt w:val="lowerRoman"/>
      <w:lvlText w:val="%6."/>
      <w:lvlJc w:val="end"/>
      <w:pPr>
        <w:tabs>
          <w:tab w:val="num" w:pos="0"/>
        </w:tabs>
        <w:ind w:start="5312" w:hanging="180"/>
      </w:pPr>
      <w:rPr/>
    </w:lvl>
    <w:lvl w:ilvl="6">
      <w:start w:val="1"/>
      <w:numFmt w:val="decimal"/>
      <w:lvlText w:val="%7."/>
      <w:lvlJc w:val="start"/>
      <w:pPr>
        <w:tabs>
          <w:tab w:val="num" w:pos="0"/>
        </w:tabs>
        <w:ind w:start="6032" w:hanging="360"/>
      </w:pPr>
      <w:rPr/>
    </w:lvl>
    <w:lvl w:ilvl="7">
      <w:start w:val="1"/>
      <w:numFmt w:val="lowerLetter"/>
      <w:lvlText w:val="%8."/>
      <w:lvlJc w:val="start"/>
      <w:pPr>
        <w:tabs>
          <w:tab w:val="num" w:pos="0"/>
        </w:tabs>
        <w:ind w:start="6752" w:hanging="360"/>
      </w:pPr>
      <w:rPr/>
    </w:lvl>
    <w:lvl w:ilvl="8">
      <w:start w:val="1"/>
      <w:numFmt w:val="lowerRoman"/>
      <w:lvlText w:val="%9."/>
      <w:lvlJc w:val="end"/>
      <w:pPr>
        <w:tabs>
          <w:tab w:val="num" w:pos="0"/>
        </w:tabs>
        <w:ind w:start="7472" w:hanging="180"/>
      </w:pPr>
      <w:rPr/>
    </w:lvl>
  </w:abstractNum>
  <w:abstractNum w:abstractNumId="50">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20"/>
    <w:lvlOverride w:ilvl="0">
      <w:startOverride w:val="1"/>
    </w:lvlOverride>
  </w:num>
  <w:num w:numId="52">
    <w:abstractNumId w:val="20"/>
  </w:num>
  <w:num w:numId="53">
    <w:abstractNumId w:val="20"/>
  </w:num>
  <w:num w:numId="54">
    <w:abstractNumId w:val="20"/>
  </w:num>
  <w:num w:numId="55">
    <w:abstractNumId w:val="20"/>
  </w:num>
  <w:num w:numId="56">
    <w:abstractNumId w:val="20"/>
  </w:num>
  <w:num w:numId="57">
    <w:abstractNumId w:val="20"/>
  </w:num>
  <w:num w:numId="58">
    <w:abstractNumId w:val="20"/>
  </w:num>
  <w:num w:numId="59">
    <w:abstractNumId w:val="20"/>
  </w:num>
  <w:num w:numId="60">
    <w:abstractNumId w:val="20"/>
  </w:num>
  <w:num w:numId="61">
    <w:abstractNumId w:val="20"/>
  </w:num>
  <w:num w:numId="62">
    <w:abstractNumId w:val="31"/>
    <w:lvlOverride w:ilvl="0">
      <w:startOverride w:val="1"/>
    </w:lvlOverride>
  </w:num>
  <w:num w:numId="63">
    <w:abstractNumId w:val="31"/>
  </w:num>
  <w:num w:numId="64">
    <w:abstractNumId w:val="31"/>
  </w:num>
  <w:num w:numId="65">
    <w:abstractNumId w:val="31"/>
  </w:num>
  <w:num w:numId="66">
    <w:abstractNumId w:val="35"/>
    <w:lvlOverride w:ilvl="0">
      <w:startOverride w:val="1"/>
    </w:lvlOverride>
  </w:num>
  <w:num w:numId="67">
    <w:abstractNumId w:val="36"/>
    <w:lvlOverride w:ilvl="0">
      <w:startOverride w:val="1"/>
    </w:lvlOverride>
  </w:num>
  <w:num w:numId="68">
    <w:abstractNumId w:val="36"/>
  </w:num>
  <w:num w:numId="69">
    <w:abstractNumId w:val="35"/>
  </w:num>
  <w:num w:numId="70">
    <w:abstractNumId w:val="35"/>
  </w:num>
  <w:num w:numId="71">
    <w:abstractNumId w:val="9"/>
  </w:num>
  <w:num w:numId="72">
    <w:abstractNumId w:val="35"/>
  </w:num>
  <w:num w:numId="73">
    <w:abstractNumId w:val="35"/>
  </w:num>
  <w:num w:numId="74">
    <w:abstractNumId w:val="35"/>
  </w:num>
  <w:num w:numId="75">
    <w:abstractNumId w:val="35"/>
  </w:num>
  <w:num w:numId="76">
    <w:abstractNumId w:val="35"/>
  </w:num>
  <w:num w:numId="77">
    <w:abstractNumId w:val="46"/>
    <w:lvlOverride w:ilvl="0">
      <w:startOverride w:val="1"/>
    </w:lvlOverride>
  </w:num>
  <w:num w:numId="78">
    <w:abstractNumId w:val="17"/>
    <w:lvlOverride w:ilvl="0">
      <w:startOverride w:val="1"/>
    </w:lvlOverride>
  </w:num>
  <w:num w:numId="79">
    <w:abstractNumId w:val="17"/>
    <w:lvlOverride w:ilvl="0">
      <w:startOverride w:val="1"/>
    </w:lvlOverride>
  </w:num>
  <w:num w:numId="80">
    <w:abstractNumId w:val="17"/>
    <w:lvlOverride w:ilvl="0">
      <w:startOverride w:val="1"/>
    </w:lvlOverride>
  </w:num>
</w:numbering>
</file>

<file path=word/settings.xml><?xml version="1.0" encoding="utf-8"?>
<w:settings xmlns:w="http://schemas.openxmlformats.org/wordprocessingml/2006/main">
  <w:zoom w:percent="120"/>
  <w:defaultTabStop w:val="709"/>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pl-PL"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start"/>
    </w:pPr>
    <w:rPr>
      <w:rFonts w:ascii="Liberation Serif" w:hAnsi="Liberation Serif" w:eastAsia="NSimSun" w:cs="Lucida Sans"/>
      <w:color w:val="auto"/>
      <w:kern w:val="2"/>
      <w:sz w:val="24"/>
      <w:szCs w:val="24"/>
      <w:lang w:val="pl-PL" w:eastAsia="zh-CN" w:bidi="hi-IN"/>
    </w:rPr>
  </w:style>
  <w:style w:type="paragraph" w:styleId="Heading1">
    <w:name w:val="heading 1"/>
    <w:basedOn w:val="Standard"/>
    <w:next w:val="Standard"/>
    <w:qFormat/>
    <w:pPr>
      <w:keepNext w:val="true"/>
      <w:spacing w:before="120" w:after="120"/>
      <w:outlineLvl w:val="0"/>
    </w:pPr>
    <w:rPr>
      <w:b/>
    </w:rPr>
  </w:style>
  <w:style w:type="character" w:styleId="Hyperlink">
    <w:name w:val="Hyperlink"/>
    <w:rPr>
      <w:color w:val="0000FF"/>
      <w:u w:val="single"/>
    </w:rPr>
  </w:style>
  <w:style w:type="character" w:styleId="Domylnaczcionkaakapitu">
    <w:name w:val="Domyślna czcionka akapitu"/>
    <w:qFormat/>
    <w:rPr/>
  </w:style>
  <w:style w:type="character" w:styleId="WWCharLFO13LVL1">
    <w:name w:val="WW_CharLFO13LVL1"/>
    <w:qFormat/>
    <w:rPr>
      <w:rFonts w:ascii="Times New Roman" w:hAnsi="Times New Roman" w:cs="Times New Roman"/>
      <w:sz w:val="22"/>
    </w:rPr>
  </w:style>
  <w:style w:type="character" w:styleId="WWCharLFO13LVL2">
    <w:name w:val="WW_CharLFO13LVL2"/>
    <w:qFormat/>
    <w:rPr>
      <w:rFonts w:cs="Times New Roman"/>
    </w:rPr>
  </w:style>
  <w:style w:type="character" w:styleId="WWCharLFO13LVL3">
    <w:name w:val="WW_CharLFO13LVL3"/>
    <w:qFormat/>
    <w:rPr>
      <w:rFonts w:cs="Times New Roman"/>
    </w:rPr>
  </w:style>
  <w:style w:type="character" w:styleId="WWCharLFO13LVL4">
    <w:name w:val="WW_CharLFO13LVL4"/>
    <w:qFormat/>
    <w:rPr>
      <w:rFonts w:cs="Times New Roman"/>
    </w:rPr>
  </w:style>
  <w:style w:type="character" w:styleId="WWCharLFO13LVL5">
    <w:name w:val="WW_CharLFO13LVL5"/>
    <w:qFormat/>
    <w:rPr>
      <w:rFonts w:cs="Times New Roman"/>
    </w:rPr>
  </w:style>
  <w:style w:type="character" w:styleId="WWCharLFO13LVL6">
    <w:name w:val="WW_CharLFO13LVL6"/>
    <w:qFormat/>
    <w:rPr>
      <w:rFonts w:cs="Times New Roman"/>
    </w:rPr>
  </w:style>
  <w:style w:type="character" w:styleId="WWCharLFO13LVL7">
    <w:name w:val="WW_CharLFO13LVL7"/>
    <w:qFormat/>
    <w:rPr>
      <w:rFonts w:cs="Times New Roman"/>
    </w:rPr>
  </w:style>
  <w:style w:type="character" w:styleId="WWCharLFO13LVL8">
    <w:name w:val="WW_CharLFO13LVL8"/>
    <w:qFormat/>
    <w:rPr>
      <w:rFonts w:cs="Times New Roman"/>
    </w:rPr>
  </w:style>
  <w:style w:type="character" w:styleId="WWCharLFO13LVL9">
    <w:name w:val="WW_CharLFO13LVL9"/>
    <w:qFormat/>
    <w:rPr>
      <w:rFonts w:cs="Times New Roman"/>
    </w:rPr>
  </w:style>
  <w:style w:type="character" w:styleId="FontStyle70">
    <w:name w:val="Font Style70"/>
    <w:qFormat/>
    <w:rPr>
      <w:rFonts w:ascii="Times New Roman" w:hAnsi="Times New Roman" w:cs="Times New Roman"/>
      <w:b/>
      <w:bCs/>
      <w:color w:val="000000"/>
      <w:sz w:val="20"/>
      <w:szCs w:val="20"/>
    </w:rPr>
  </w:style>
  <w:style w:type="character" w:styleId="FontStyle71">
    <w:name w:val="Font Style71"/>
    <w:qFormat/>
    <w:rPr>
      <w:rFonts w:ascii="Times New Roman" w:hAnsi="Times New Roman" w:cs="Times New Roman"/>
      <w:color w:val="000000"/>
      <w:sz w:val="20"/>
      <w:szCs w:val="20"/>
    </w:rPr>
  </w:style>
  <w:style w:type="character" w:styleId="DefaultParagraphFont">
    <w:name w:val="Default Paragraph Font"/>
    <w:qFormat/>
    <w:rPr/>
  </w:style>
  <w:style w:type="character" w:styleId="markedcontent">
    <w:name w:val="markedcontent"/>
    <w:basedOn w:val="DefaultParagraphFont"/>
    <w:qFormat/>
    <w:rPr/>
  </w:style>
  <w:style w:type="character" w:styleId="StopkaZnak">
    <w:name w:val="Stopka Znak"/>
    <w:qFormat/>
    <w:rPr/>
  </w:style>
  <w:style w:type="character" w:styleId="NagwekZnak">
    <w:name w:val="Nagłówek Znak"/>
    <w:qFormat/>
    <w:rPr/>
  </w:style>
  <w:style w:type="character" w:styleId="TekstdymkaZnak">
    <w:name w:val="Tekst dymka Znak"/>
    <w:qFormat/>
    <w:rPr>
      <w:rFonts w:ascii="Tahoma" w:hAnsi="Tahoma" w:cs="Tahoma"/>
      <w:sz w:val="16"/>
      <w:szCs w:val="16"/>
    </w:rPr>
  </w:style>
  <w:style w:type="character" w:styleId="Bodytext3">
    <w:name w:val="Body text (3)_"/>
    <w:qFormat/>
    <w:rPr>
      <w:rFonts w:ascii="Arial" w:hAnsi="Arial" w:eastAsia="Arial" w:cs="Arial"/>
      <w:b w:val="false"/>
      <w:bCs w:val="false"/>
      <w:i w:val="false"/>
      <w:iCs w:val="false"/>
      <w:caps w:val="false"/>
      <w:smallCaps w:val="false"/>
      <w:strike w:val="false"/>
      <w:dstrike w:val="false"/>
      <w:color w:val="505BA0"/>
      <w:sz w:val="19"/>
      <w:szCs w:val="19"/>
      <w:u w:val="none"/>
    </w:rPr>
  </w:style>
  <w:style w:type="character" w:styleId="Bodytext2">
    <w:name w:val="Body text (2)_"/>
    <w:qFormat/>
    <w:rPr>
      <w:rFonts w:ascii="Arial" w:hAnsi="Arial" w:eastAsia="Arial" w:cs="Arial"/>
      <w:b w:val="false"/>
      <w:bCs w:val="false"/>
      <w:i w:val="false"/>
      <w:iCs w:val="false"/>
      <w:caps w:val="false"/>
      <w:smallCaps w:val="false"/>
      <w:strike w:val="false"/>
      <w:dstrike w:val="false"/>
      <w:color w:val="505BA0"/>
      <w:sz w:val="15"/>
      <w:szCs w:val="15"/>
      <w:u w:val="none"/>
    </w:rPr>
  </w:style>
  <w:style w:type="character" w:styleId="Heading11">
    <w:name w:val="Heading #1_"/>
    <w:qFormat/>
    <w:rPr>
      <w:rFonts w:ascii="Arial" w:hAnsi="Arial" w:eastAsia="Arial" w:cs="Arial"/>
      <w:b/>
      <w:bCs/>
      <w:i w:val="false"/>
      <w:iCs w:val="false"/>
      <w:caps w:val="false"/>
      <w:smallCaps w:val="false"/>
      <w:strike w:val="false"/>
      <w:dstrike w:val="false"/>
      <w:sz w:val="22"/>
      <w:szCs w:val="22"/>
      <w:u w:val="none"/>
    </w:rPr>
  </w:style>
  <w:style w:type="character" w:styleId="Headerorfooter2">
    <w:name w:val="Header or footer (2)_"/>
    <w:qFormat/>
    <w:rPr>
      <w:rFonts w:ascii="Times New Roman" w:hAnsi="Times New Roman" w:eastAsia="Times New Roman" w:cs="Times New Roman"/>
      <w:b w:val="false"/>
      <w:bCs w:val="false"/>
      <w:i w:val="false"/>
      <w:iCs w:val="false"/>
      <w:caps w:val="false"/>
      <w:smallCaps w:val="false"/>
      <w:strike w:val="false"/>
      <w:dstrike w:val="false"/>
      <w:sz w:val="20"/>
      <w:szCs w:val="20"/>
      <w:u w:val="none"/>
    </w:rPr>
  </w:style>
  <w:style w:type="character" w:styleId="TekstpodstawowyZnak">
    <w:name w:val="Tekst podstawowy Znak"/>
    <w:qFormat/>
    <w:rPr>
      <w:rFonts w:ascii="Arial" w:hAnsi="Arial" w:eastAsia="Arial" w:cs="Arial"/>
      <w:b w:val="false"/>
      <w:bCs w:val="false"/>
      <w:i w:val="false"/>
      <w:iCs w:val="false"/>
      <w:caps w:val="false"/>
      <w:smallCaps w:val="false"/>
      <w:strike w:val="false"/>
      <w:dstrike w:val="false"/>
      <w:sz w:val="22"/>
      <w:szCs w:val="22"/>
      <w:u w:val="none"/>
    </w:rPr>
  </w:style>
  <w:style w:type="character" w:styleId="Znakinumeracjiuser">
    <w:name w:val="Znaki numeracji (user)"/>
    <w:qFormat/>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Standard">
    <w:name w:val="Standard"/>
    <w:qFormat/>
    <w:pPr>
      <w:widowControl/>
      <w:suppressAutoHyphens w:val="true"/>
      <w:bidi w:val="0"/>
      <w:spacing w:before="0" w:after="0"/>
      <w:jc w:val="start"/>
      <w:textAlignment w:val="baseline"/>
    </w:pPr>
    <w:rPr>
      <w:rFonts w:ascii="Liberation Serif" w:hAnsi="Liberation Serif" w:eastAsia="Times New Roman" w:cs="Times New Roman"/>
      <w:color w:val="auto"/>
      <w:kern w:val="2"/>
      <w:sz w:val="20"/>
      <w:szCs w:val="20"/>
      <w:lang w:val="pl-PL" w:eastAsia="zh-CN" w:bidi="ar-SA"/>
    </w:rPr>
  </w:style>
  <w:style w:type="paragraph" w:styleId="Gwkaistopka">
    <w:name w:val="Główka i stopka"/>
    <w:basedOn w:val="Normal"/>
    <w:qFormat/>
    <w:pPr/>
    <w:rPr/>
  </w:style>
  <w:style w:type="paragraph" w:styleId="Gwkaistopkauser">
    <w:name w:val="Główka i stopka (user)"/>
    <w:basedOn w:val="Normal"/>
    <w:qFormat/>
    <w:pPr/>
    <w:rPr/>
  </w:style>
  <w:style w:type="paragraph" w:styleId="Header">
    <w:name w:val="header"/>
    <w:basedOn w:val="Standard"/>
    <w:pPr/>
    <w:rPr/>
  </w:style>
  <w:style w:type="paragraph" w:styleId="Default">
    <w:name w:val="Default"/>
    <w:qFormat/>
    <w:pPr>
      <w:widowControl/>
      <w:suppressAutoHyphens w:val="true"/>
      <w:bidi w:val="0"/>
      <w:spacing w:before="0" w:after="0"/>
      <w:jc w:val="start"/>
      <w:textAlignment w:val="baseline"/>
    </w:pPr>
    <w:rPr>
      <w:rFonts w:ascii="Arial" w:hAnsi="Arial" w:eastAsia="Times New Roman" w:cs="Arial"/>
      <w:color w:val="auto"/>
      <w:kern w:val="2"/>
      <w:sz w:val="20"/>
      <w:szCs w:val="20"/>
      <w:lang w:val="pl-PL" w:eastAsia="zh-CN" w:bidi="ar-SA"/>
    </w:rPr>
  </w:style>
  <w:style w:type="paragraph" w:styleId="ListParagraph">
    <w:name w:val="List Paragraph"/>
    <w:basedOn w:val="Standard"/>
    <w:qFormat/>
    <w:pPr>
      <w:spacing w:lineRule="auto" w:line="276" w:before="0" w:after="200"/>
      <w:ind w:hanging="0" w:start="720"/>
    </w:pPr>
    <w:rPr>
      <w:rFonts w:ascii="Calibri" w:hAnsi="Calibri" w:eastAsia="Calibri" w:cs="Calibri"/>
      <w:sz w:val="22"/>
      <w:szCs w:val="22"/>
    </w:rPr>
  </w:style>
  <w:style w:type="paragraph" w:styleId="BodyTextIndent2">
    <w:name w:val="Body Text Indent 2"/>
    <w:basedOn w:val="Normal"/>
    <w:qFormat/>
    <w:pPr>
      <w:spacing w:lineRule="auto" w:line="480" w:before="0" w:after="120"/>
      <w:ind w:hanging="0" w:start="283"/>
    </w:pPr>
    <w:rPr/>
  </w:style>
  <w:style w:type="paragraph" w:styleId="Textbody">
    <w:name w:val="Text body"/>
    <w:basedOn w:val="Standard"/>
    <w:qFormat/>
    <w:pPr>
      <w:ind w:hanging="0" w:end="510"/>
    </w:pPr>
    <w:rPr/>
  </w:style>
  <w:style w:type="paragraph" w:styleId="Akapitzlist1">
    <w:name w:val="Akapit z listą1"/>
    <w:basedOn w:val="Standard"/>
    <w:qFormat/>
    <w:pPr>
      <w:tabs>
        <w:tab w:val="clear" w:pos="709"/>
      </w:tabs>
      <w:suppressAutoHyphens w:val="true"/>
      <w:ind w:hanging="0" w:start="708" w:end="0"/>
    </w:pPr>
    <w:rPr/>
  </w:style>
  <w:style w:type="paragraph" w:styleId="pkt">
    <w:name w:val="pkt"/>
    <w:basedOn w:val="Standard"/>
    <w:qFormat/>
    <w:pPr>
      <w:spacing w:before="60" w:after="60"/>
      <w:ind w:hanging="295" w:start="851"/>
      <w:jc w:val="both"/>
    </w:pPr>
    <w:rPr>
      <w:sz w:val="24"/>
    </w:rPr>
  </w:style>
  <w:style w:type="paragraph" w:styleId="Textbodyindent">
    <w:name w:val="Text body indent"/>
    <w:basedOn w:val="Standard"/>
    <w:qFormat/>
    <w:pPr>
      <w:spacing w:before="60" w:after="0"/>
      <w:ind w:hanging="0" w:start="426"/>
    </w:pPr>
    <w:rPr>
      <w:i/>
    </w:rPr>
  </w:style>
  <w:style w:type="paragraph" w:styleId="BodyTextFirstIndent2">
    <w:name w:val="Body Text First Indent 2"/>
    <w:basedOn w:val="Textbodyindent"/>
    <w:qFormat/>
    <w:pPr>
      <w:spacing w:before="0" w:after="0"/>
      <w:ind w:firstLine="360" w:start="360"/>
    </w:pPr>
    <w:rPr>
      <w:i w:val="false"/>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 w:type="paragraph" w:styleId="BalloonText">
    <w:name w:val="Balloon Text"/>
    <w:basedOn w:val="Normal"/>
    <w:qFormat/>
    <w:pPr/>
    <w:rPr>
      <w:rFonts w:ascii="Tahoma" w:hAnsi="Tahoma" w:cs="Tahoma"/>
      <w:sz w:val="16"/>
      <w:szCs w:val="16"/>
    </w:rPr>
  </w:style>
  <w:style w:type="paragraph" w:styleId="Bodytext31">
    <w:name w:val="Body text (3)"/>
    <w:basedOn w:val="Normal"/>
    <w:qFormat/>
    <w:pPr>
      <w:shd w:fill="FFFFFF"/>
    </w:pPr>
    <w:rPr>
      <w:rFonts w:ascii="Arial" w:hAnsi="Arial" w:eastAsia="Arial" w:cs="Arial"/>
      <w:color w:val="505BA0"/>
      <w:sz w:val="19"/>
      <w:szCs w:val="19"/>
    </w:rPr>
  </w:style>
  <w:style w:type="paragraph" w:styleId="Bodytext21">
    <w:name w:val="Body text (2)"/>
    <w:basedOn w:val="Normal"/>
    <w:qFormat/>
    <w:pPr>
      <w:shd w:fill="FFFFFF"/>
    </w:pPr>
    <w:rPr>
      <w:rFonts w:ascii="Arial" w:hAnsi="Arial" w:eastAsia="Arial" w:cs="Arial"/>
      <w:color w:val="505BA0"/>
      <w:sz w:val="15"/>
      <w:szCs w:val="15"/>
    </w:rPr>
  </w:style>
  <w:style w:type="paragraph" w:styleId="Heading12">
    <w:name w:val="Heading #1"/>
    <w:basedOn w:val="Normal"/>
    <w:qFormat/>
    <w:pPr>
      <w:shd w:fill="FFFFFF"/>
      <w:spacing w:lineRule="auto" w:line="252"/>
      <w:jc w:val="center"/>
    </w:pPr>
    <w:rPr>
      <w:rFonts w:ascii="Arial" w:hAnsi="Arial" w:eastAsia="Arial" w:cs="Arial"/>
      <w:b/>
      <w:bCs/>
      <w:sz w:val="22"/>
      <w:szCs w:val="22"/>
    </w:rPr>
  </w:style>
  <w:style w:type="paragraph" w:styleId="Headerorfooter21">
    <w:name w:val="Header or footer (2)"/>
    <w:basedOn w:val="Normal"/>
    <w:qFormat/>
    <w:pPr>
      <w:shd w:fill="FFFFFF"/>
    </w:pPr>
    <w:rPr>
      <w:rFonts w:ascii="Times New Roman" w:hAnsi="Times New Roman" w:eastAsia="Times New Roman" w:cs="Times New Roman"/>
      <w:sz w:val="20"/>
      <w:szCs w:val="20"/>
    </w:rPr>
  </w:style>
  <w:style w:type="paragraph" w:styleId="Zawartotabeliuser">
    <w:name w:val="Zawartość tabeli (user)"/>
    <w:basedOn w:val="Normal"/>
    <w:qFormat/>
    <w:pPr>
      <w:widowControl w:val="false"/>
      <w:suppressLineNumbers/>
    </w:pPr>
    <w:rPr/>
  </w:style>
  <w:style w:type="paragraph" w:styleId="Nagwektabeliuser">
    <w:name w:val="Nagłówek tabeli (user)"/>
    <w:basedOn w:val="Zawartotabeliuser"/>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ezamowienia.gov.pl/pl/" TargetMode="External"/><Relationship Id="rId3" Type="http://schemas.openxmlformats.org/officeDocument/2006/relationships/hyperlink" Target="mailto:zamowienia@wss.olsztyn.pl" TargetMode="External"/><Relationship Id="rId4" Type="http://schemas.openxmlformats.org/officeDocument/2006/relationships/hyperlink" Target="https://ezamowienia.gov.pl/" TargetMode="External"/><Relationship Id="rId5" Type="http://schemas.openxmlformats.org/officeDocument/2006/relationships/hyperlink" Target="https://ezamowienia.gov.pl/"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278</TotalTime>
  <Application>LibreOffice/25.2.7.2$Windows_X86_64 LibreOffice_project/5cbfd1ab6520636bb5f7b99185aa69bd7456825d</Application>
  <AppVersion>15.0000</AppVersion>
  <Pages>23</Pages>
  <Words>8789</Words>
  <Characters>56286</Characters>
  <CharactersWithSpaces>65791</CharactersWithSpaces>
  <Paragraphs>344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pl-PL</dc:language>
  <cp:lastModifiedBy/>
  <dcterms:modified xsi:type="dcterms:W3CDTF">2026-03-02T20:20:41Z</dcterms:modified>
  <cp:revision>46</cp:revision>
  <dc:subject/>
  <dc:title/>
</cp:coreProperties>
</file>

<file path=docProps/custom.xml><?xml version="1.0" encoding="utf-8"?>
<Properties xmlns="http://schemas.openxmlformats.org/officeDocument/2006/custom-properties" xmlns:vt="http://schemas.openxmlformats.org/officeDocument/2006/docPropsVTypes"/>
</file>